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25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Хрещатівської сільської бібліотеки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rPr/>
      </w:pPr>
      <w:r>
        <w:rPr/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13.12.2019 № 813-26-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sz w:val="28"/>
          <w:lang w:val="uk-UA"/>
        </w:rPr>
        <w:t xml:space="preserve">Про затвердження структури та граничної штатної чисельності бібліотечних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color w:val="000000"/>
          <w:sz w:val="28"/>
          <w:szCs w:val="28"/>
          <w:lang w:val="uk-UA"/>
        </w:rPr>
        <w:t>” (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вадцять шоста сесія):</w:t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Хрещатівської сільської бібліотеки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Хрещатівської сільської бібліотеки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0a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b50a2b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b50a2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b50a2b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b50a2b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semiHidden/>
    <w:unhideWhenUsed/>
    <w:rsid w:val="00b50a2b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b50a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LibreOffice/6.1.2.1$Windows_X86_64 LibreOffice_project/65905a128db06ba48db947242809d14d3f9a93fe</Application>
  <Pages>1</Pages>
  <Words>151</Words>
  <Characters>1011</Characters>
  <CharactersWithSpaces>1315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2020-02-04T08:32:00Z</dcterms:created>
  <dc:creator>Пользователь Windows</dc:creator>
  <dc:description/>
  <dc:language>uk-UA</dc:language>
  <cp:lastModifiedBy/>
  <cp:lastPrinted>2020-02-24T13:57:14Z</cp:lastPrinted>
  <dcterms:modified xsi:type="dcterms:W3CDTF">2020-02-24T13:56:37Z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