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11 грудня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</w:t>
      </w:r>
      <w:r>
        <w:rPr>
          <w:sz w:val="28"/>
          <w:szCs w:val="28"/>
        </w:rPr>
        <w:t>403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 та враховуючи наказ директора Решетилівської дитячо-юнацької спортивної школи Решетилівської міської ради від 10.12.2019 № 54 „Про участь команди вихованців дитячо-юнацької спортивної школи у Кубку Полтавської області з греко-римської боротьби серед дорослих”,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Славку Валерію Васильовичу</w:t>
      </w:r>
      <w:r>
        <w:rPr>
          <w:sz w:val="28"/>
          <w:szCs w:val="28"/>
        </w:rPr>
        <w:t xml:space="preserve">, тренеру-викладачу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Решетилівської міської ради, який відряджається з </w:t>
      </w:r>
      <w:bookmarkStart w:id="0" w:name="__DdeLink__275_1240413872"/>
      <w:r>
        <w:rPr>
          <w:sz w:val="28"/>
          <w:szCs w:val="28"/>
        </w:rPr>
        <w:t xml:space="preserve">командою вихованців секції </w:t>
      </w:r>
      <w:bookmarkEnd w:id="0"/>
      <w:r>
        <w:rPr>
          <w:sz w:val="28"/>
          <w:szCs w:val="28"/>
        </w:rPr>
        <w:t>греко-римської боротьби (список додається) до м. Полтава, терміном на 1 календарний день, 12 грудня 2019 року,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у Кубку Полтавської області з греко-римської боротьби серед дорослих,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Секретар міської ради   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11.12.2019 № </w:t>
      </w:r>
      <w:r>
        <w:rPr>
          <w:rFonts w:cs="Times New Roman"/>
          <w:sz w:val="28"/>
          <w:szCs w:val="28"/>
        </w:rPr>
        <w:t>403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Список команди вихованців секції греко-римської боротьби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 у Кубку Полтавської області з греко-римської боротьби серед дорослих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96"/>
        <w:gridCol w:w="3016"/>
        <w:gridCol w:w="3918"/>
        <w:gridCol w:w="1814"/>
      </w:tblGrid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ПІБ учнів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Назва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Керівник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Божко Владислав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Грибельник Антон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Козарь Антон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Лень Олег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Муліка Ярослав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Олефір Іван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Педенко Сергій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Трудненко Денис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</w:tbl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Начальник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спорту  та туризму                                                                  М.С. Тітік    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І.В. 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ab/>
        <w:t xml:space="preserve">Н.Ю. Колотій </w:t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Начальник відділу бухгалтерського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обліку, звітності  та адміністративно-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господарського забезпечення-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головний бухгалтер  </w:t>
        <w:tab/>
        <w:tab/>
        <w:tab/>
        <w:t xml:space="preserve">С.Г. Момот </w:t>
      </w:r>
    </w:p>
    <w:p>
      <w:pPr>
        <w:pStyle w:val="Normal"/>
        <w:tabs>
          <w:tab w:val="left" w:pos="7080" w:leader="none"/>
        </w:tabs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       О.О. Мірошник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культури, молоді,</w:t>
      </w:r>
    </w:p>
    <w:p>
      <w:pPr>
        <w:pStyle w:val="Normal"/>
        <w:tabs>
          <w:tab w:val="left" w:pos="7080" w:leader="none"/>
        </w:tabs>
        <w:rPr/>
      </w:pPr>
      <w:bookmarkStart w:id="1" w:name="__DdeLink__92_327107095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1"/>
      <w:r>
        <w:rPr>
          <w:rFonts w:cs="Times New Roman"/>
          <w:sz w:val="28"/>
          <w:szCs w:val="28"/>
        </w:rPr>
        <w:t xml:space="preserve"> </w:t>
        <w:tab/>
        <w:t xml:space="preserve">          М.С. Тітік 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rPr/>
      </w:pPr>
      <w:r>
        <w:rPr>
          <w:rFonts w:cs="Times New Roman"/>
          <w:sz w:val="28"/>
          <w:szCs w:val="28"/>
        </w:rPr>
        <w:t>Головний спеціаліст відділу культури, молоді,</w:t>
      </w:r>
    </w:p>
    <w:p>
      <w:pPr>
        <w:pStyle w:val="Normal"/>
        <w:tabs>
          <w:tab w:val="left" w:pos="7080" w:leader="none"/>
        </w:tabs>
        <w:jc w:val="both"/>
        <w:rPr/>
      </w:pPr>
      <w:bookmarkStart w:id="2" w:name="__DdeLink__92_327107095"/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спорту та туризму                                                     </w:t>
      </w:r>
      <w:bookmarkEnd w:id="2"/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 </w:t>
        <w:tab/>
        <w:t xml:space="preserve">          М.В. Кордубан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LibreOffice/6.1.0.3$Windows_X86_64 LibreOffice_project/efb621ed25068d70781dc026f7e9c5187a4decd1</Application>
  <Pages>3</Pages>
  <Words>346</Words>
  <Characters>2502</Characters>
  <CharactersWithSpaces>3273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2019-05-02T09:33:37Z</dcterms:created>
  <dc:creator/>
  <dc:description/>
  <dc:language>uk-UA</dc:language>
  <cp:lastModifiedBy/>
  <cp:lastPrinted>2019-09-09T14:48:06Z</cp:lastPrinted>
  <dcterms:modified xsi:type="dcterms:W3CDTF">2020-01-29T15:25:57Z</dcterms:modified>
  <cp:revision>9</cp:revision>
  <dc:subject/>
  <dc:title/>
</cp:coreProperties>
</file>