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240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08.10.2020 року № 732-38-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передачу комунального закладу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Решетилівський  районний краєзнавчий музей”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(38 сесія), рішенням Решетилівської міської ради від 16.10.2020 року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1160-40-VII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</w:t>
      </w:r>
      <w:r>
        <w:rPr>
          <w:rFonts w:cs="Times New Roman" w:ascii="Times New Roman" w:hAnsi="Times New Roman"/>
          <w:sz w:val="28"/>
          <w:szCs w:val="28"/>
          <w:lang w:val="uk-UA"/>
        </w:rPr>
        <w:t>комунального закладу „Решетилівський районний краєзнавчий музей”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(40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Створити тимчасову комісію з приймання та передачі комунального закладу „Решетилівський районний краєзнавчий музей” (ЄДРПОУ 38645185), матеріальних цінностей, активів та зобов’язань, іншого майна за адресою: м. Решетилівка, вул. Покровська, 19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</w:t>
      </w:r>
      <w:r>
        <w:rPr>
          <w:rFonts w:cs="Times New Roman" w:ascii="Times New Roman" w:hAnsi="Times New Roman"/>
          <w:spacing w:val="-6"/>
          <w:sz w:val="28"/>
          <w:szCs w:val="28"/>
          <w:lang w:val="uk-UA"/>
        </w:rPr>
        <w:t xml:space="preserve"> відділу культури та туризму Решетилівської районної державної адміністрації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баланс виконавчого комітету Решетилівської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tbl>
      <w:tblPr>
        <w:tblStyle w:val="ab"/>
        <w:tblW w:w="9360" w:type="dxa"/>
        <w:jc w:val="left"/>
        <w:tblInd w:w="36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9"/>
        <w:gridCol w:w="6920"/>
      </w:tblGrid>
      <w:tr>
        <w:trPr>
          <w:trHeight w:val="673" w:hRule="atLeast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Вікторівни, керуючої справами виконавчого апарату Решетилівської районної ради (за згодою);</w:t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Гудзь Світлани Василівни – начальника відділу культури та туризму райдержадміністрації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Кісіля Юрія Миколайовича – директора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комунального закладу „Решетилівський районний краєзнавчий музей” (за згодою)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Горбань Юлії Вікторівни – головного бухгалтера централізованої бухгалтерії відділу культури та туризму райдержадміністрації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7A10-CB66-49E4-BD86-92E116B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LibreOffice/6.1.2.1$Windows_X86_64 LibreOffice_project/65905a128db06ba48db947242809d14d3f9a93fe</Application>
  <Pages>2</Pages>
  <Words>313</Words>
  <Characters>2463</Characters>
  <CharactersWithSpaces>2940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2020-12-28T08:55:00Z</cp:lastPrinted>
  <dcterms:modified xsi:type="dcterms:W3CDTF">2021-01-05T14:54:38Z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