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(третя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113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3-VIII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цінностей, активів та зобов’язань Говтвянської сільської 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виконання Плану заходів з реорганізації Говтвянської сільської ради, затвердженого рішенням Решетилівської міської ради восьмого скликання від 15 грудня 2020 року № 33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-1-VІІІ „Про початок реорганізації Говтвянської сільської ради шляхом приєднання до  Решетилівської  міської  ради”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Передавальний акт балансових рахунків, матеріальних цінностей, активів та зобов’язань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Говтвянської </w:t>
      </w:r>
      <w:r>
        <w:rPr>
          <w:rFonts w:cs="Times New Roman" w:ascii="Times New Roman" w:hAnsi="Times New Roman"/>
          <w:sz w:val="28"/>
          <w:szCs w:val="28"/>
          <w:lang w:val="uk-UA"/>
        </w:rPr>
        <w:t>сільської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en-US" w:bidi="ar-SA"/>
        </w:rPr>
        <w:t>Міський голова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Підготовлено:</w:t>
      </w:r>
    </w:p>
    <w:p>
      <w:pPr>
        <w:pStyle w:val="Style25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Начальник відділу бухгалтерського обліку,                                                         звітності та адміністративно-господарського                                                                забезпечення-головний бухгалтер                                          С.Г. Момот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Defaul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documentProtection w:edit="readOnly" w:cryptProviderType="rsaAES" w:cryptAlgorithmClass="hash" w:cryptAlgorithmType="typeAny" w:cryptAlgorithmSid="" w:cryptSpinCount="0" w:hash="" w:salt="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5">
    <w:name w:val="Абзац списка"/>
    <w:basedOn w:val="Style24"/>
    <w:qFormat/>
    <w:pPr>
      <w:tabs>
        <w:tab w:val="clear" w:pos="708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Application>LibreOffice/6.3.1.2$Windows_X86_64 LibreOffice_project/b79626edf0065ac373bd1df5c28bd630b4424273</Application>
  <Pages>2</Pages>
  <Words>135</Words>
  <Characters>1060</Characters>
  <CharactersWithSpaces>1614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2020-01-15T07:14:00Z</dcterms:created>
  <dc:creator>1</dc:creator>
  <dc:description/>
  <dc:language>ru-RU</dc:language>
  <cp:lastModifiedBy/>
  <cp:lastPrinted>2020-02-20T08:08:59Z</cp:lastPrinted>
  <dcterms:modified xsi:type="dcterms:W3CDTF">2021-02-02T09:48:37Z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