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0E" w:rsidRDefault="00F8780E">
      <w:pPr>
        <w:jc w:val="center"/>
        <w:rPr>
          <w:b/>
          <w:sz w:val="12"/>
          <w:szCs w:val="12"/>
        </w:rPr>
      </w:pPr>
    </w:p>
    <w:p w:rsidR="00F8780E" w:rsidRDefault="00455241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780E" w:rsidRDefault="0045524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F8780E" w:rsidRDefault="0045524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F8780E" w:rsidRDefault="00455241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F8780E" w:rsidRDefault="00F8780E">
      <w:pPr>
        <w:jc w:val="center"/>
        <w:rPr>
          <w:b/>
          <w:sz w:val="28"/>
          <w:szCs w:val="28"/>
        </w:rPr>
      </w:pPr>
    </w:p>
    <w:p w:rsidR="00F8780E" w:rsidRDefault="00455241">
      <w:pPr>
        <w:jc w:val="center"/>
      </w:pPr>
      <w:r>
        <w:rPr>
          <w:b/>
          <w:sz w:val="28"/>
          <w:szCs w:val="28"/>
        </w:rPr>
        <w:t>РІШЕННЯ</w:t>
      </w:r>
    </w:p>
    <w:p w:rsidR="00F8780E" w:rsidRDefault="00F8780E">
      <w:pPr>
        <w:rPr>
          <w:b/>
          <w:sz w:val="28"/>
          <w:szCs w:val="28"/>
        </w:rPr>
      </w:pPr>
    </w:p>
    <w:p w:rsidR="00F8780E" w:rsidRDefault="00455241">
      <w:r>
        <w:rPr>
          <w:sz w:val="28"/>
          <w:szCs w:val="28"/>
        </w:rPr>
        <w:t xml:space="preserve">29 грудня 2021 року                                                                                          № </w:t>
      </w:r>
      <w:r w:rsidR="00A066D7">
        <w:rPr>
          <w:sz w:val="28"/>
          <w:szCs w:val="28"/>
        </w:rPr>
        <w:t>390</w:t>
      </w:r>
    </w:p>
    <w:p w:rsidR="00F8780E" w:rsidRDefault="00F8780E">
      <w:pPr>
        <w:rPr>
          <w:sz w:val="28"/>
          <w:szCs w:val="28"/>
        </w:rPr>
      </w:pPr>
    </w:p>
    <w:p w:rsidR="00F8780E" w:rsidRDefault="00455241">
      <w:r>
        <w:rPr>
          <w:sz w:val="28"/>
          <w:szCs w:val="28"/>
        </w:rPr>
        <w:t>Про затвердження Переліку об’єктів</w:t>
      </w:r>
      <w:r>
        <w:t xml:space="preserve"> </w:t>
      </w:r>
    </w:p>
    <w:p w:rsidR="00F8780E" w:rsidRDefault="00455241">
      <w:r>
        <w:rPr>
          <w:sz w:val="28"/>
          <w:szCs w:val="28"/>
        </w:rPr>
        <w:t xml:space="preserve">та видів </w:t>
      </w:r>
      <w:r>
        <w:rPr>
          <w:sz w:val="28"/>
          <w:szCs w:val="28"/>
          <w:highlight w:val="white"/>
        </w:rPr>
        <w:t>громадських робіт</w:t>
      </w:r>
      <w:r>
        <w:rPr>
          <w:sz w:val="28"/>
          <w:szCs w:val="28"/>
        </w:rPr>
        <w:t xml:space="preserve"> на 2022 рік,</w:t>
      </w:r>
    </w:p>
    <w:p w:rsidR="00F8780E" w:rsidRDefault="00455241">
      <w:r>
        <w:rPr>
          <w:sz w:val="28"/>
          <w:szCs w:val="28"/>
        </w:rPr>
        <w:t>безробітними особами, що направлені</w:t>
      </w:r>
    </w:p>
    <w:p w:rsidR="00F8780E" w:rsidRDefault="00455241">
      <w:pPr>
        <w:rPr>
          <w:sz w:val="28"/>
          <w:szCs w:val="28"/>
        </w:rPr>
      </w:pPr>
      <w:r>
        <w:rPr>
          <w:sz w:val="28"/>
          <w:szCs w:val="28"/>
        </w:rPr>
        <w:t>центром зайнятості</w:t>
      </w:r>
      <w:bookmarkStart w:id="0" w:name="__DdeLink__2724_1157231421"/>
      <w:bookmarkEnd w:id="0"/>
    </w:p>
    <w:p w:rsidR="00F8780E" w:rsidRDefault="00F8780E"/>
    <w:p w:rsidR="00F8780E" w:rsidRPr="00D81618" w:rsidRDefault="00455241" w:rsidP="00D8161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Керуючись підпунктом 17 пункту „б” частини першої статті 34 Закону України „Про міс</w:t>
      </w:r>
      <w:r w:rsidR="00D81618">
        <w:rPr>
          <w:color w:val="000000"/>
          <w:sz w:val="28"/>
          <w:szCs w:val="28"/>
          <w:shd w:val="clear" w:color="auto" w:fill="FFFFFF"/>
        </w:rPr>
        <w:t xml:space="preserve">цеве самоврядування в Україні”, </w:t>
      </w:r>
      <w:r w:rsidR="00D81618" w:rsidRPr="00D81618">
        <w:rPr>
          <w:color w:val="000000"/>
          <w:sz w:val="28"/>
          <w:szCs w:val="28"/>
          <w:shd w:val="clear" w:color="auto" w:fill="FFFFFF"/>
        </w:rPr>
        <w:t>з метою організації і проведення оплачуваних громадських робіт для зареєстрованих безробітних осіб, які перебувають на обліку в</w:t>
      </w:r>
      <w:r w:rsidR="00D81618">
        <w:rPr>
          <w:color w:val="000000"/>
          <w:sz w:val="28"/>
          <w:szCs w:val="28"/>
          <w:shd w:val="clear" w:color="auto" w:fill="FFFFFF"/>
        </w:rPr>
        <w:t xml:space="preserve"> Решетилівській філії Полтавського обласного центру зайнятості,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F8780E" w:rsidRDefault="00455241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F8780E" w:rsidRDefault="00F8780E">
      <w:pPr>
        <w:jc w:val="both"/>
        <w:rPr>
          <w:b/>
          <w:bCs/>
          <w:sz w:val="28"/>
          <w:szCs w:val="28"/>
        </w:rPr>
      </w:pPr>
    </w:p>
    <w:p w:rsidR="00F8780E" w:rsidRDefault="00D81618" w:rsidP="00D81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55241" w:rsidRPr="00D81618">
        <w:rPr>
          <w:sz w:val="28"/>
          <w:szCs w:val="28"/>
        </w:rPr>
        <w:t xml:space="preserve">Затвердити </w:t>
      </w:r>
      <w:r w:rsidR="00455241">
        <w:rPr>
          <w:sz w:val="28"/>
          <w:szCs w:val="28"/>
        </w:rPr>
        <w:t>Перелік об’єктів та види</w:t>
      </w:r>
      <w:r w:rsidRPr="00D81618">
        <w:rPr>
          <w:sz w:val="28"/>
          <w:szCs w:val="28"/>
        </w:rPr>
        <w:t xml:space="preserve"> громадських робіт на 2022 рік, безробітними особами, що направлені центром зайнятості </w:t>
      </w:r>
      <w:r w:rsidR="00455241" w:rsidRPr="00D81618">
        <w:rPr>
          <w:sz w:val="28"/>
          <w:szCs w:val="28"/>
        </w:rPr>
        <w:t>(додається).</w:t>
      </w:r>
    </w:p>
    <w:p w:rsidR="00F8780E" w:rsidRPr="00D81618" w:rsidRDefault="00D81618" w:rsidP="00D81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81618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 w:rsidRPr="00D81618">
        <w:rPr>
          <w:sz w:val="28"/>
          <w:szCs w:val="28"/>
        </w:rPr>
        <w:t>заступника міського голови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Сивинську</w:t>
      </w:r>
      <w:proofErr w:type="spellEnd"/>
      <w:r>
        <w:rPr>
          <w:sz w:val="28"/>
          <w:szCs w:val="28"/>
        </w:rPr>
        <w:t xml:space="preserve"> І.В.</w:t>
      </w:r>
    </w:p>
    <w:p w:rsidR="00F8780E" w:rsidRDefault="00F8780E" w:rsidP="00D81618">
      <w:pPr>
        <w:jc w:val="both"/>
        <w:rPr>
          <w:sz w:val="28"/>
          <w:szCs w:val="28"/>
        </w:rPr>
      </w:pPr>
    </w:p>
    <w:p w:rsidR="00F8780E" w:rsidRDefault="00F8780E" w:rsidP="00D81618">
      <w:pPr>
        <w:jc w:val="both"/>
        <w:rPr>
          <w:sz w:val="28"/>
          <w:szCs w:val="28"/>
        </w:rPr>
      </w:pPr>
    </w:p>
    <w:p w:rsidR="00F8780E" w:rsidRDefault="00F8780E" w:rsidP="00D81618">
      <w:pPr>
        <w:jc w:val="both"/>
        <w:rPr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A066D7">
      <w:pPr>
        <w:jc w:val="both"/>
        <w:rPr>
          <w:rFonts w:cs="Times New Roman"/>
          <w:sz w:val="28"/>
          <w:szCs w:val="28"/>
        </w:rPr>
      </w:pPr>
      <w:r w:rsidRPr="00A066D7">
        <w:rPr>
          <w:rFonts w:cs="Times New Roman"/>
          <w:sz w:val="28"/>
          <w:szCs w:val="28"/>
        </w:rPr>
        <w:t>Міський голова</w:t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</w:r>
      <w:r w:rsidRPr="00A066D7">
        <w:rPr>
          <w:rFonts w:cs="Times New Roman"/>
          <w:sz w:val="28"/>
          <w:szCs w:val="28"/>
        </w:rPr>
        <w:tab/>
        <w:t>О.А Дядюнова</w:t>
      </w: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jc w:val="both"/>
        <w:rPr>
          <w:rFonts w:cs="Times New Roman"/>
          <w:sz w:val="28"/>
          <w:szCs w:val="28"/>
        </w:rPr>
      </w:pPr>
    </w:p>
    <w:p w:rsidR="00D81618" w:rsidRDefault="00D81618">
      <w:pPr>
        <w:ind w:left="5670"/>
        <w:jc w:val="both"/>
        <w:rPr>
          <w:rFonts w:cs="Times New Roman"/>
          <w:sz w:val="28"/>
          <w:szCs w:val="28"/>
        </w:rPr>
      </w:pPr>
    </w:p>
    <w:p w:rsidR="00F8780E" w:rsidRDefault="00455241">
      <w:pPr>
        <w:ind w:left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ЗАТВЕРДЖЕНО</w:t>
      </w:r>
    </w:p>
    <w:p w:rsidR="00F8780E" w:rsidRDefault="00455241">
      <w:pPr>
        <w:ind w:left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 w:rsidR="00F8780E" w:rsidRDefault="00455241">
      <w:pPr>
        <w:ind w:left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F8780E" w:rsidRDefault="00455241">
      <w:pPr>
        <w:ind w:left="56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 грудня  2021 року №</w:t>
      </w:r>
      <w:r w:rsidR="00A066D7">
        <w:rPr>
          <w:rFonts w:cs="Times New Roman"/>
          <w:sz w:val="28"/>
          <w:szCs w:val="28"/>
        </w:rPr>
        <w:t xml:space="preserve"> 390</w:t>
      </w:r>
      <w:bookmarkStart w:id="1" w:name="_GoBack"/>
      <w:bookmarkEnd w:id="1"/>
    </w:p>
    <w:p w:rsidR="00F8780E" w:rsidRDefault="00F8780E">
      <w:pPr>
        <w:jc w:val="both"/>
        <w:rPr>
          <w:rFonts w:cs="Times New Roman"/>
          <w:sz w:val="28"/>
          <w:szCs w:val="28"/>
        </w:rPr>
      </w:pPr>
    </w:p>
    <w:p w:rsidR="00F8780E" w:rsidRDefault="00455241">
      <w:pPr>
        <w:jc w:val="center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Перелік </w:t>
      </w:r>
      <w:r>
        <w:rPr>
          <w:sz w:val="28"/>
          <w:szCs w:val="28"/>
        </w:rPr>
        <w:t xml:space="preserve">видів </w:t>
      </w:r>
      <w:r>
        <w:rPr>
          <w:sz w:val="28"/>
          <w:szCs w:val="28"/>
          <w:highlight w:val="white"/>
        </w:rPr>
        <w:t>громадських робіт</w:t>
      </w:r>
      <w:r>
        <w:rPr>
          <w:sz w:val="28"/>
          <w:szCs w:val="28"/>
        </w:rPr>
        <w:t xml:space="preserve"> на 2022 рік, безробітними особами, </w:t>
      </w:r>
    </w:p>
    <w:p w:rsidR="00F8780E" w:rsidRDefault="00455241">
      <w:pPr>
        <w:jc w:val="center"/>
        <w:rPr>
          <w:sz w:val="28"/>
          <w:szCs w:val="28"/>
        </w:rPr>
      </w:pPr>
      <w:r>
        <w:rPr>
          <w:sz w:val="28"/>
          <w:szCs w:val="28"/>
        </w:rPr>
        <w:t>що направлені центром зайнятості</w:t>
      </w:r>
    </w:p>
    <w:p w:rsidR="00F8780E" w:rsidRDefault="00F8780E">
      <w:pPr>
        <w:jc w:val="center"/>
        <w:rPr>
          <w:sz w:val="28"/>
          <w:szCs w:val="28"/>
        </w:rPr>
      </w:pP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1. Благоустрій та озеленення територій населених пунктів, кладовищ</w:t>
      </w:r>
      <w:r>
        <w:rPr>
          <w:rFonts w:cstheme="minorBidi"/>
          <w:kern w:val="0"/>
          <w:sz w:val="28"/>
          <w:szCs w:val="28"/>
          <w:lang w:eastAsia="uk-UA" w:bidi="ar-SA"/>
        </w:rPr>
        <w:t>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2. Підсобні та ремонтні роботи при проведенні ремонту об’єктів охорони  здоров’я та об’єктів соціальної сфери.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3. Догляд за особами похилого віку та інвалідами.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4. Впорядкування територій населених пунктів з метою ліквідації наслідків надзвичайних ситуацій, визнаних рішеннями органів виконавчої влади.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5. Впорядкування місць меморіального поховання, які мають офіційний статус.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6. Підсобні роботи з відновлення пам’яток архітектури, історії та культури.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7. Підсобні роботи у ремонті приватних житлових будинків одиноких осіб з числа ветеранів війни та інвалідів, учасників АТО, ООС та їх сімей, що проводяться за рішеннями сільської ради.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8. Надання допомоги сім’ям, члени яких загинули, постраждали в антитерористичній операції, операції об’єднаних сил, та зазнали негативного впливу внаслідок збройного конфлікту.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9. Інформування населення щодо отримання житлових субсидій та робота з документами.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10. Надання послуг із супроводу, догляду, обслуговування, соціально-медичного патронажу осіб з інвалідністю.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11. Виконання підсобних робіт до опалювального періоду та в опалювальний період для дошкільних та інших навчальних закладів, закладів охорони здоров’я.</w:t>
      </w:r>
    </w:p>
    <w:p w:rsidR="00F8780E" w:rsidRDefault="00455241">
      <w:pPr>
        <w:ind w:firstLine="709"/>
        <w:jc w:val="both"/>
      </w:pPr>
      <w:r>
        <w:rPr>
          <w:sz w:val="28"/>
          <w:szCs w:val="28"/>
        </w:rPr>
        <w:t>12. Роботи з соціально вразливими верстами населення, інші роботи соціального напрямку.</w:t>
      </w:r>
    </w:p>
    <w:p w:rsidR="00F8780E" w:rsidRDefault="00455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Підсобні роботи при ремонті або реконструкції об’єктів соціальної сфери (для дошкільних та інших навчальних закладів, закладів охорони здоров’я, будинків інтернатів для громадян похилого віку та інвалідів, </w:t>
      </w:r>
      <w:proofErr w:type="spellStart"/>
      <w:r>
        <w:rPr>
          <w:sz w:val="28"/>
          <w:szCs w:val="28"/>
        </w:rPr>
        <w:t>ФаПів</w:t>
      </w:r>
      <w:proofErr w:type="spellEnd"/>
      <w:r>
        <w:rPr>
          <w:sz w:val="28"/>
          <w:szCs w:val="28"/>
        </w:rPr>
        <w:t>, клубів, стадіонів та інших).</w:t>
      </w:r>
    </w:p>
    <w:p w:rsidR="00F8780E" w:rsidRDefault="00F8780E">
      <w:pPr>
        <w:jc w:val="both"/>
        <w:rPr>
          <w:sz w:val="28"/>
          <w:szCs w:val="28"/>
        </w:rPr>
      </w:pPr>
    </w:p>
    <w:p w:rsidR="00F8780E" w:rsidRDefault="00F8780E">
      <w:pPr>
        <w:jc w:val="both"/>
        <w:rPr>
          <w:sz w:val="28"/>
          <w:szCs w:val="28"/>
        </w:rPr>
      </w:pPr>
    </w:p>
    <w:p w:rsidR="00F8780E" w:rsidRDefault="00F8780E">
      <w:pPr>
        <w:jc w:val="both"/>
        <w:rPr>
          <w:sz w:val="28"/>
          <w:szCs w:val="28"/>
        </w:rPr>
      </w:pPr>
    </w:p>
    <w:p w:rsidR="00F8780E" w:rsidRDefault="00F8780E">
      <w:pPr>
        <w:jc w:val="both"/>
        <w:rPr>
          <w:sz w:val="28"/>
          <w:szCs w:val="28"/>
        </w:rPr>
      </w:pPr>
    </w:p>
    <w:p w:rsidR="00F8780E" w:rsidRDefault="004552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</w:t>
      </w:r>
    </w:p>
    <w:p w:rsidR="00F8780E" w:rsidRDefault="004552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 Д.С. Момот</w:t>
      </w:r>
    </w:p>
    <w:p w:rsidR="00F8780E" w:rsidRDefault="00F8780E">
      <w:pPr>
        <w:jc w:val="both"/>
      </w:pPr>
    </w:p>
    <w:sectPr w:rsidR="00F8780E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18A1"/>
    <w:multiLevelType w:val="multilevel"/>
    <w:tmpl w:val="FA8C6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E"/>
    <w:rsid w:val="00455241"/>
    <w:rsid w:val="00A066D7"/>
    <w:rsid w:val="00D81618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B61610"/>
    <w:rPr>
      <w:rFonts w:ascii="Segoe UI" w:hAnsi="Segoe UI" w:cs="Mangal"/>
      <w:kern w:val="2"/>
      <w:sz w:val="18"/>
      <w:szCs w:val="16"/>
      <w:lang w:val="uk-UA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rsid w:val="00B330DB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semiHidden/>
    <w:unhideWhenUsed/>
    <w:qFormat/>
    <w:rsid w:val="00B6161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kern w:val="2"/>
      <w:sz w:val="24"/>
      <w:szCs w:val="24"/>
      <w:lang w:val="uk-UA" w:eastAsia="zh-CN" w:bidi="hi-IN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B61610"/>
    <w:rPr>
      <w:rFonts w:ascii="Segoe UI" w:hAnsi="Segoe UI" w:cs="Mangal"/>
      <w:kern w:val="2"/>
      <w:sz w:val="18"/>
      <w:szCs w:val="16"/>
      <w:lang w:val="uk-UA"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customStyle="1" w:styleId="111">
    <w:name w:val="Указатель1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Указатель11"/>
    <w:basedOn w:val="a"/>
    <w:qFormat/>
    <w:pPr>
      <w:suppressLineNumbers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c">
    <w:name w:val="List Paragraph"/>
    <w:basedOn w:val="a"/>
    <w:uiPriority w:val="99"/>
    <w:qFormat/>
    <w:rsid w:val="00B330DB"/>
    <w:pPr>
      <w:ind w:left="720"/>
      <w:contextualSpacing/>
    </w:pPr>
    <w:rPr>
      <w:rFonts w:cs="Mangal"/>
      <w:szCs w:val="21"/>
    </w:rPr>
  </w:style>
  <w:style w:type="paragraph" w:styleId="ad">
    <w:name w:val="Balloon Text"/>
    <w:basedOn w:val="a"/>
    <w:semiHidden/>
    <w:unhideWhenUsed/>
    <w:qFormat/>
    <w:rsid w:val="00B6161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2021-12-29T14:00:00Z</cp:lastPrinted>
  <dcterms:created xsi:type="dcterms:W3CDTF">2021-12-28T11:19:00Z</dcterms:created>
  <dcterms:modified xsi:type="dcterms:W3CDTF">2021-12-29T14:01:00Z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