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460375" cy="61341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06 жовтня 2021 року                                                                                          № 282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визначення відповідальної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особи за реєстрацію колективних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>договорів</w:t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z w:val="28"/>
          <w:szCs w:val="28"/>
        </w:rPr>
        <w:tab/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  <w:t>Керуючись ст. 34 Закону України ,,Про місцеве самоврядування в Україні</w:t>
      </w:r>
      <w:r>
        <w:rPr>
          <w:rFonts w:cs="Times New Roman"/>
          <w:color w:val="000000"/>
          <w:sz w:val="28"/>
          <w:szCs w:val="28"/>
        </w:rPr>
        <w:t>”,</w:t>
      </w:r>
      <w:r>
        <w:rPr>
          <w:rFonts w:eastAsia="Times New Roman" w:cs="Times New Roman"/>
          <w:spacing w:val="-2"/>
          <w:sz w:val="28"/>
          <w:szCs w:val="28"/>
        </w:rPr>
        <w:t xml:space="preserve"> у відповідності до вимог ст. 9 Закону України „Про колективні договори та угоди”, ст. 15 Кодексу законів про працю України, постанови  Кабінету Міністрів України від 13.02.2013 № 115 „Про порядок повідомної реєстрації галузевих (міжгалузевих) і територіальних угод, колективних договорів” (зі змінами) та з метою організації здійснення процедури повідомної реєстрації територіальних угод, колективних договорів, змін і доповнень до них підприємств, установ, організацій, що знаходяться на території громади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</w:rPr>
        <w:t>ЗОБОВ’ЯЗУЮ: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1. Визначити відповідальною особою за здійснення </w:t>
      </w:r>
      <w:r>
        <w:rPr>
          <w:rFonts w:eastAsia="Times New Roman" w:cs="Times New Roman"/>
          <w:spacing w:val="-2"/>
          <w:sz w:val="28"/>
          <w:szCs w:val="28"/>
        </w:rPr>
        <w:t xml:space="preserve">процедури повідомної реєстрації територіальних угод, колективних договорів, змін і доповнень до них Бондарець Лесю Володимирівну, головного спеціаліста відділу </w:t>
      </w:r>
      <w:bookmarkStart w:id="0" w:name="__DdeLink__4497_2869281464"/>
      <w:r>
        <w:rPr>
          <w:rFonts w:cs="Times New Roman"/>
          <w:sz w:val="28"/>
          <w:szCs w:val="28"/>
        </w:rPr>
        <w:t>сім’ї, соціального захисту та охорони здоров’я виконавчого комітету міської ради</w:t>
      </w:r>
      <w:bookmarkEnd w:id="0"/>
      <w:r>
        <w:rPr>
          <w:sz w:val="28"/>
          <w:szCs w:val="28"/>
        </w:rPr>
        <w:t>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 xml:space="preserve">. Начальнику відділу </w:t>
      </w:r>
      <w:r>
        <w:rPr>
          <w:rFonts w:cs="Times New Roman"/>
          <w:color w:val="000000"/>
          <w:sz w:val="28"/>
          <w:szCs w:val="28"/>
        </w:rPr>
        <w:t>сім’ї, соціального захисту та охорони здоров’я виконавчого комітету міської ради</w:t>
      </w:r>
      <w:r>
        <w:rPr>
          <w:color w:val="000000"/>
          <w:sz w:val="28"/>
          <w:szCs w:val="28"/>
        </w:rPr>
        <w:t xml:space="preserve"> Момоту Д.С., внести зміни до посадової інструкції Бондарець Л.В. </w:t>
      </w:r>
    </w:p>
    <w:p>
      <w:pPr>
        <w:pStyle w:val="Normal"/>
        <w:tabs>
          <w:tab w:val="left" w:pos="0" w:leader="none"/>
        </w:tabs>
        <w:ind w:left="709" w:right="-1" w:hanging="0"/>
        <w:jc w:val="both"/>
        <w:rPr/>
      </w:pPr>
      <w:r>
        <w:rPr>
          <w:sz w:val="28"/>
          <w:szCs w:val="28"/>
        </w:rPr>
        <w:t>3. Контроль за виконанням розпорядження залишаю за собою.</w:t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Міський голова                                                                            О.А.Дядюнова             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6540" w:leader="none"/>
          <w:tab w:val="left" w:pos="7200" w:leader="none"/>
        </w:tabs>
        <w:spacing w:lineRule="atLeast" w:line="100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439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LibreOffice/6.1.0.3$Windows_X86_64 LibreOffice_project/efb621ed25068d70781dc026f7e9c5187a4decd1</Application>
  <Pages>2</Pages>
  <Words>317</Words>
  <Characters>1809</Characters>
  <CharactersWithSpaces>2122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2021-10-06T08:23:00Z</dcterms:created>
  <dc:creator>Лина Танько</dc:creator>
  <dc:description/>
  <dc:language>uk-UA</dc:language>
  <cp:lastModifiedBy/>
  <dcterms:modified xsi:type="dcterms:W3CDTF">2021-10-11T16:13:14Z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