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tabs>
          <w:tab w:val="left" w:pos="-142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-142" w:leader="none"/>
        </w:tabs>
        <w:rPr/>
      </w:pPr>
      <w:r>
        <w:rPr>
          <w:sz w:val="28"/>
          <w:szCs w:val="28"/>
          <w:lang w:val="uk-UA"/>
        </w:rPr>
        <w:t>28 грудня</w:t>
      </w:r>
      <w:r>
        <w:rPr>
          <w:sz w:val="28"/>
          <w:szCs w:val="28"/>
        </w:rPr>
        <w:t xml:space="preserve"> 2021 року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405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збір технічних завдань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Стратегії розвитку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Решетилівської міської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2022-2027 роки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3, 4, 27, 42, 54, 59 та 73 Закону України „Про місцеве самоврядування в Україні”, наказу Міністерства регіонального розвитку, будівництва та житлово-комунального господарства України від 30.03.2016        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громади”, враховуючи розпорядження міського голови від 25.08.2021 № 233 „Про розробку Стратегії розвитку Решетилівської міської територіальної громади на 2022-2027 роки” (зі змінами, що внесені розпорядженнями міського голови від 30.08.2021 № 239 та від 15.12.2021 № 395) та Протокол</w:t>
      </w:r>
      <w:r>
        <w:rPr>
          <w:color w:val="aut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засідання </w:t>
      </w:r>
      <w:r>
        <w:rPr>
          <w:bCs/>
          <w:color w:val="000000"/>
          <w:sz w:val="28"/>
          <w:szCs w:val="28"/>
          <w:lang w:val="uk-UA"/>
        </w:rPr>
        <w:t xml:space="preserve">Робочої групи з розробки Стратегії розвитку Решетилівської міської територіальної громади на 2022-2027 роки (далі по тексту – Робоча група) </w:t>
      </w:r>
      <w:r>
        <w:rPr>
          <w:sz w:val="28"/>
          <w:szCs w:val="28"/>
          <w:lang w:val="uk-UA"/>
        </w:rPr>
        <w:t xml:space="preserve">від </w:t>
      </w:r>
      <w:r>
        <w:rPr>
          <w:color w:val="auto"/>
          <w:sz w:val="28"/>
          <w:szCs w:val="28"/>
          <w:lang w:val="uk-UA"/>
        </w:rPr>
        <w:t xml:space="preserve">09.12.2021 </w:t>
      </w:r>
      <w:r>
        <w:rPr>
          <w:sz w:val="28"/>
          <w:szCs w:val="28"/>
          <w:lang w:val="uk-UA"/>
        </w:rPr>
        <w:t xml:space="preserve">№ 5 </w:t>
      </w:r>
      <w:r>
        <w:rPr>
          <w:bCs/>
          <w:color w:val="000000"/>
          <w:sz w:val="28"/>
          <w:szCs w:val="28"/>
          <w:lang w:val="uk-UA"/>
        </w:rPr>
        <w:t>та низьку активність населення і громадського сектору щодо подання ідей</w:t>
      </w:r>
      <w:r>
        <w:rPr>
          <w:sz w:val="28"/>
          <w:szCs w:val="28"/>
          <w:lang w:val="uk-UA"/>
        </w:rPr>
        <w:t>, з метою розробки дієвої та ефективної Стратегії розвитку Решетилівської міської територіальної громади на 2022-2027 роки</w:t>
      </w:r>
      <w:r>
        <w:rPr>
          <w:bCs/>
          <w:color w:val="000000"/>
          <w:sz w:val="28"/>
          <w:szCs w:val="28"/>
          <w:lang w:val="uk-UA"/>
        </w:rPr>
        <w:t>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збір технічних завдань (ідей проєктів) до Стратегії розвитку Решетилівської міської територіальної громади на 2022-2027 роки (далі по  тексту – Стратегія).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Встановити, що технічні завдання (ідеї проєктів) мають відповідати наступним параметрам: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бути спрямовані на досягнення суспільної вигоди, отримувачем вигоди від реалізації проєкту не може бути окрема фізична або юридична особа;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термін реалізації проєкту – не більше як 3 роки (2022-2024 роки);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існує людська та технічна спроможність для реалізації проєкту;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проєктна ідея має бути представлена у формі, що додається (Додаток 1);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проєктна ідея стосується одного із завдань Стратегії (Додаток 2);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проєктна ідея має бути надіслана на електронну пошту </w:t>
      </w:r>
    </w:p>
    <w:p>
      <w:pPr>
        <w:pStyle w:val="Normal"/>
        <w:ind w:firstLine="709"/>
        <w:jc w:val="both"/>
        <w:rPr/>
      </w:pPr>
      <w:hyperlink r:id="rId3">
        <w:r>
          <w:rPr>
            <w:rStyle w:val="Style15"/>
            <w:sz w:val="28"/>
            <w:szCs w:val="28"/>
            <w:lang w:val="uk-UA"/>
          </w:rPr>
          <w:t>resh-strat-2027@ukr.net</w:t>
        </w:r>
      </w:hyperlink>
      <w:r>
        <w:rPr>
          <w:sz w:val="28"/>
          <w:szCs w:val="28"/>
          <w:lang w:val="uk-UA"/>
        </w:rPr>
        <w:t>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Членам Робочої групи, відділам виконавчого комітету, самостійним структурним підрозділам Решетилівської міської ради, комунальним підприємствам Решетилівської міської ради до 18.01.2022 (включно) подати технічні завдання (ідеї проєктів) до Стратегії.</w:t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Рекомендувати населенню, громадському сектору, представникам </w:t>
      </w:r>
      <w:r>
        <w:rPr>
          <w:color w:val="auto"/>
          <w:sz w:val="28"/>
          <w:szCs w:val="28"/>
          <w:lang w:val="uk-UA"/>
        </w:rPr>
        <w:t xml:space="preserve">бізнесу, підприємствам, установам та організаціям громади, </w:t>
      </w:r>
      <w:r>
        <w:rPr>
          <w:sz w:val="28"/>
          <w:szCs w:val="28"/>
          <w:lang w:val="uk-UA"/>
        </w:rPr>
        <w:t>до 18.01.2022 (включно) подати ідеї проєктів (технічних завдань) до Стратегії.</w:t>
      </w:r>
    </w:p>
    <w:p>
      <w:pPr>
        <w:pStyle w:val="Normal"/>
        <w:tabs>
          <w:tab w:val="left" w:pos="1095" w:leader="none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5. Відділу </w:t>
      </w:r>
      <w:r>
        <w:rPr>
          <w:color w:val="000000"/>
          <w:sz w:val="28"/>
          <w:szCs w:val="28"/>
          <w:lang w:val="uk-UA" w:eastAsia="uk-UA"/>
        </w:rPr>
        <w:t xml:space="preserve">організаційно-інформаційної роботи, документообігу та управління персоналом </w:t>
      </w:r>
      <w:r>
        <w:rPr>
          <w:sz w:val="28"/>
          <w:szCs w:val="28"/>
          <w:lang w:val="uk-UA"/>
        </w:rPr>
        <w:t xml:space="preserve">виконавчого комітету Решетилівської міської ради </w:t>
      </w:r>
      <w:r>
        <w:rPr>
          <w:color w:val="000000"/>
          <w:sz w:val="28"/>
          <w:szCs w:val="28"/>
          <w:lang w:val="uk-UA" w:eastAsia="uk-UA"/>
        </w:rPr>
        <w:t>(Мірошник О.О.):</w:t>
      </w:r>
    </w:p>
    <w:p>
      <w:pPr>
        <w:pStyle w:val="Normal"/>
        <w:tabs>
          <w:tab w:val="left" w:pos="1095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1)</w:t>
      </w:r>
      <w:r>
        <w:rPr>
          <w:sz w:val="28"/>
          <w:szCs w:val="28"/>
          <w:lang w:val="uk-UA"/>
        </w:rPr>
        <w:t xml:space="preserve"> забезпечити інформування населення громади шляхом оприлюднення даного розпорядження </w:t>
      </w:r>
      <w:r>
        <w:rPr>
          <w:bCs/>
          <w:sz w:val="28"/>
          <w:szCs w:val="28"/>
          <w:lang w:val="uk-UA"/>
        </w:rPr>
        <w:t>на офіційному сайті Решетилівської міської ради;</w:t>
      </w:r>
    </w:p>
    <w:p>
      <w:pPr>
        <w:pStyle w:val="Normal"/>
        <w:tabs>
          <w:tab w:val="left" w:pos="1095" w:leader="none"/>
        </w:tabs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2) забезпечити доведення даного розпорядження до зацікавлених суб’єктів під особистий підпис.</w:t>
      </w:r>
    </w:p>
    <w:p>
      <w:pPr>
        <w:pStyle w:val="Normal"/>
        <w:tabs>
          <w:tab w:val="left" w:pos="1095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Відділу </w:t>
      </w:r>
      <w:r>
        <w:rPr>
          <w:color w:val="000000"/>
          <w:sz w:val="28"/>
          <w:szCs w:val="28"/>
          <w:lang w:val="uk-UA" w:eastAsia="uk-UA"/>
        </w:rPr>
        <w:t xml:space="preserve">економічного розвитку, торгівлі та залучення інвестицій </w:t>
      </w:r>
      <w:r>
        <w:rPr>
          <w:sz w:val="28"/>
          <w:szCs w:val="28"/>
          <w:lang w:val="uk-UA"/>
        </w:rPr>
        <w:t xml:space="preserve">виконавчого комітету Решетилівської міської ради </w:t>
      </w:r>
      <w:r>
        <w:rPr>
          <w:color w:val="000000"/>
          <w:sz w:val="28"/>
          <w:szCs w:val="28"/>
          <w:lang w:val="uk-UA" w:eastAsia="uk-UA"/>
        </w:rPr>
        <w:t>(Романов А.Л.):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інформування членів Робочої групи про прийняття даного розпорядження;</w:t>
      </w:r>
    </w:p>
    <w:p>
      <w:pPr>
        <w:pStyle w:val="Normal"/>
        <w:tabs>
          <w:tab w:val="left" w:pos="1095" w:leader="none"/>
        </w:tabs>
        <w:ind w:firstLine="709"/>
        <w:jc w:val="both"/>
        <w:rPr>
          <w:b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>
        <w:rPr>
          <w:bCs/>
          <w:sz w:val="28"/>
          <w:szCs w:val="28"/>
          <w:lang w:val="uk-UA"/>
        </w:rPr>
        <w:t>забезпечити узагальнення наданих пропозицій,</w:t>
      </w:r>
      <w:r>
        <w:rPr>
          <w:bCs/>
          <w:color w:val="auto"/>
          <w:sz w:val="28"/>
          <w:szCs w:val="28"/>
          <w:lang w:val="uk-UA"/>
        </w:rPr>
        <w:t xml:space="preserve"> про що повідомити на наступному, шостому засіданні Робочої групи.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розпорядження залишаю за собою.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firstLine="6009"/>
        <w:jc w:val="left"/>
        <w:rPr/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одаток 1</w:t>
      </w:r>
    </w:p>
    <w:p>
      <w:pPr>
        <w:pStyle w:val="Normal"/>
        <w:widowControl/>
        <w:bidi w:val="0"/>
        <w:ind w:left="0" w:right="0" w:firstLine="6009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розпорядження міського</w:t>
      </w:r>
    </w:p>
    <w:p>
      <w:pPr>
        <w:pStyle w:val="Normal"/>
        <w:widowControl/>
        <w:bidi w:val="0"/>
        <w:ind w:left="0" w:right="0" w:firstLine="6009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голови</w:t>
      </w:r>
    </w:p>
    <w:p>
      <w:pPr>
        <w:pStyle w:val="Normal"/>
        <w:widowControl/>
        <w:bidi w:val="0"/>
        <w:ind w:left="0" w:right="0" w:firstLine="6009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 грудня 2021 року № 405</w:t>
      </w:r>
    </w:p>
    <w:p>
      <w:pPr>
        <w:pStyle w:val="Normal"/>
        <w:widowControl/>
        <w:bidi w:val="0"/>
        <w:ind w:left="0" w:right="0" w:firstLine="6009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364"/>
        <w:gridCol w:w="1305"/>
        <w:gridCol w:w="1365"/>
        <w:gridCol w:w="1410"/>
        <w:gridCol w:w="1201"/>
      </w:tblGrid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keepNext w:val="false"/>
              <w:keepLines w:val="false"/>
              <w:widowControl w:val="false"/>
              <w:spacing w:lineRule="auto" w:line="240" w:before="40" w:after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Номер та назва завдання Стратегії, якому відповідає проєкт: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Назва проєкту: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Цілі проєкту: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color w:val="000000"/>
                <w:sz w:val="28"/>
                <w:szCs w:val="28"/>
              </w:rPr>
              <w:t>Територія впливу проєкту: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color w:val="000000"/>
                <w:sz w:val="28"/>
                <w:szCs w:val="28"/>
              </w:rPr>
              <w:t>Орієнтовна кількість отримувачів вигод: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Стислий опис проблеми, на розв`язання якої спрямований  проєкт: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Очікувані результати: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Ключові заходи проєкту: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color w:val="000000"/>
                <w:sz w:val="28"/>
                <w:szCs w:val="28"/>
              </w:rPr>
              <w:t xml:space="preserve">Період здійснення: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Орієнтовна вартість проєкту, тис. грн.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  <w:t>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Разом</w:t>
            </w:r>
          </w:p>
        </w:tc>
      </w:tr>
      <w:tr>
        <w:trPr/>
        <w:tc>
          <w:tcPr>
            <w:tcW w:w="4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Джерела фінансування: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color w:val="000000"/>
                <w:sz w:val="28"/>
                <w:szCs w:val="28"/>
              </w:rPr>
              <w:t>Ключові потенційні учасники реалізації проєкту: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Інша інформація щодо проєкту: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bidi w:val="0"/>
        <w:ind w:left="0" w:right="0" w:firstLine="6009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firstLine="6009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економічного</w:t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розвитку, торгівлі та залучення</w:t>
      </w:r>
    </w:p>
    <w:p>
      <w:pPr>
        <w:sectPr>
          <w:type w:val="nextPage"/>
          <w:pgSz w:w="11906" w:h="16838"/>
          <w:pgMar w:left="1701" w:right="567" w:header="0" w:top="1134" w:footer="0" w:bottom="709" w:gutter="0"/>
          <w:pgNumType w:fmt="decimal"/>
          <w:formProt w:val="false"/>
          <w:textDirection w:val="lrTb"/>
          <w:docGrid w:type="default" w:linePitch="360" w:charSpace="24576"/>
        </w:sectPr>
        <w:pStyle w:val="Normal"/>
        <w:widowControl/>
        <w:bidi w:val="0"/>
        <w:ind w:left="0" w:right="0" w:hanging="0"/>
        <w:jc w:val="both"/>
        <w:rPr>
          <w:color w:val="000000"/>
          <w:sz w:val="28"/>
          <w:szCs w:val="28"/>
          <w:lang w:val="uk-UA"/>
        </w:rPr>
      </w:pPr>
      <w:bookmarkStart w:id="0" w:name="__DdeLink__9696_3579217279"/>
      <w:r>
        <w:rPr>
          <w:color w:val="000000"/>
          <w:sz w:val="28"/>
          <w:szCs w:val="28"/>
          <w:lang w:val="uk-UA"/>
        </w:rPr>
        <w:t>інвестицій</w:t>
        <w:tab/>
        <w:tab/>
        <w:tab/>
        <w:tab/>
        <w:tab/>
        <w:tab/>
        <w:tab/>
        <w:tab/>
        <w:tab/>
        <w:t>А.Л. Романов</w:t>
      </w:r>
      <w:bookmarkEnd w:id="0"/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розпорядження міського</w:t>
      </w:r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голови</w:t>
      </w:r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 грудня 2021 року № 405</w:t>
      </w:r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285"/>
        <w:gridCol w:w="3119"/>
        <w:gridCol w:w="8166"/>
      </w:tblGrid>
      <w:tr>
        <w:trPr/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Стратегічні цілі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Оперативні цілі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</w:tr>
      <w:tr>
        <w:trPr/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Створення комфортних умов проживання мешканців громади на засадах єдності та згуртованості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Формування ефективної системи врядування в громаді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1.1.1. Формування ефективної системи управління в громаді з урахуванням нового складу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1.1.2. Запровадження нових цифрових методів в системі муніципального управління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1.1.3. Забезпечення належного доступу громадян до адміністративних послуг на всій території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1.1.4. Розширення участі мешканців громади в прийнятті рішень, розвиток самореалізації молоді (дорадчі ради, громадський бюджет, тощо) 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1.1.5. Розвиток міжмуніципальної співпраці і співпраці з міжнародними партнерами для підвищення ефективності вирішення проблем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Забезпечення високої якості життя мешканців громади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1.2.1. Покращення транспортної доступності/Розвиток мережі громадського транспорту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1.2.2. Покращення дорожньої інфраструктури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1.2.3. Покращення освітньої мережі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1.2.4. Розвиток соціальної мережі та підвищення рівня соціальної захищеності мешканців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1.2.5. Забезпечення надання якісних медичних послуг, впровадження сучасних моделей та методів їх надання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1.2.6. Формування сприятливого середовища для надання якісних спортивних та культурних послуг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1.2.7. Розширення спектру культурних заходів та впровадження нових видів спортивної активності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1.2.8. Забезпечення безпеки мешканців МТГ та охорони їх законних прав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 Модернізація інженерної інфраструктури для забезпечення мешканців громади якісними комунальними послугами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1.3.1. Комунальні послуги, оновлення матеріально-технічної бази КП та ін. 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1.3.2. Облаштування та модернізація мереж вуличного освітлення населених пунктів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1.3.3. Забезпечення мешканців водою та створення належних санітарних умов</w:t>
            </w:r>
          </w:p>
          <w:p>
            <w:pPr>
              <w:pStyle w:val="Style23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1.3.4. Сприяння роботи ОСББ у напрямку енергоефективності</w:t>
            </w:r>
          </w:p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1.3.5. Благоустрій територій громади та формування повноцінних громадських просторів</w:t>
            </w:r>
          </w:p>
        </w:tc>
      </w:tr>
      <w:tr>
        <w:trPr/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Формування і розвиток конкурентоспроможної місцевої економіки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2.1. Формування базових документів для планування економічного розвитку громади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2.1.1. Розробка цілісного пакету документів просторового планування, включаючи комплексний план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2.1.2. Підготовка інвестиційного паспорту, розробка маркетингової стратегії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 Запровадження заходів стимулювання розвитку малого і середнього бізнесу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2.2.1. Налагодження постійного діалогу з бізнесом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2.2.2. Розробка місцевої програми підтримки малого та середнього бізнесу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2.2.3. Запровадження заходів для розвитку підприємницької культури (навчально-консультативні програми)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2.2.4. Підвищення продуктивності та конкурентоспроможності діючих на території громади підприємств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2.2.5. Створення індустріального парку в громаді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2.3. Формування передумов для розвитку агропромислового кластеру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2.3.1. Сприяння розвитку с/г кооперації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2.3.2. Створення системи навчання с/г підприємців громади в сфері залучення нових інвестицій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2.4. Туризм як сфера</w:t>
            </w:r>
          </w:p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економіки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2.4.1. Розвиток рекреаційно-туристичних зон та екологічних стежок в населених пунктах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2.4.2. Формування та відновлення туристичної інфраструктури,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облаштування об’єктів для відпочинку та їх доступності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2.4.3. Створення туристичних продуктів</w:t>
            </w:r>
          </w:p>
        </w:tc>
      </w:tr>
      <w:tr>
        <w:trPr/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Розвиток і промоція традицій вишивки і килимарства</w:t>
            </w:r>
          </w:p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3.1. Підтримка місцевих традицій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3.1.1. Впровадження ефективних механізмів підтримки та розвитку традицій вишивки та </w:t>
            </w:r>
            <w:r>
              <w:rPr>
                <w:sz w:val="28"/>
                <w:szCs w:val="28"/>
                <w:lang w:val="uk-UA"/>
              </w:rPr>
              <w:t>килимарства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3.1.2. Запровадження просвітницько-виховної роботи серед молоді в напрямі популяризації місцевих традицій</w:t>
            </w:r>
            <w:r>
              <w:rPr>
                <w:rStyle w:val="Style16"/>
                <w:caps w:val="false"/>
                <w:smallCaps w:val="false"/>
                <w:color w:val="5F6368"/>
                <w:sz w:val="28"/>
                <w:szCs w:val="28"/>
                <w:highlight w:val="white"/>
                <w:lang w:val="uk-UA"/>
              </w:rPr>
              <w:t xml:space="preserve"> 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3.2. Промоція туристичних можливостей та культурно-історичної спадщини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3.2.1. Розробка бренду громади на основі врахування унікальних місцевих традицій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3.2.2. Створення умов для розвитку фестивального руху та виставково-ярмаркової діяльності</w:t>
            </w:r>
          </w:p>
        </w:tc>
      </w:tr>
      <w:tr>
        <w:trPr/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Формування екобезпечного простору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4.1. Охорона і розвиток природних ресурсів на території громади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4.1.1. Раціональне використання природних ресурсів 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4.1.2. Проведення екологічної/санітарної очистки території та водойм громади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4.1.3. Забезпечення впровадження ефективної системи поводження з ТПВ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4.2. </w:t>
            </w:r>
            <w:r>
              <w:rPr>
                <w:sz w:val="28"/>
                <w:szCs w:val="28"/>
                <w:lang w:val="uk-UA"/>
              </w:rPr>
              <w:t>Вдосконалення системи муніципального енергетичного менеджменту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4.2.1. Впровадження заходів з термомодернізації, пошук додаткових джерел фінансування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4.2.2. </w:t>
            </w:r>
            <w:r>
              <w:rPr>
                <w:sz w:val="28"/>
                <w:szCs w:val="28"/>
                <w:lang w:val="uk-UA"/>
              </w:rPr>
              <w:t>Впровадження заходів з переведення закладів комунальної власності на альтернативні джерела опалення</w:t>
            </w:r>
          </w:p>
        </w:tc>
      </w:tr>
      <w:tr>
        <w:trPr/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4.3. Екологічна просвіта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4.3.1. Впровадження екологічного виховання серед мешканців громади</w:t>
            </w:r>
          </w:p>
        </w:tc>
      </w:tr>
    </w:tbl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економічного</w:t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розвитку, торгівлі та залучення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bidi w:val="0"/>
        <w:ind w:left="0" w:righ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інвестицій</w:t>
        <w:tab/>
        <w:tab/>
        <w:tab/>
        <w:tab/>
        <w:tab/>
        <w:tab/>
        <w:tab/>
        <w:tab/>
        <w:tab/>
        <w:tab/>
        <w:tab/>
        <w:tab/>
        <w:tab/>
        <w:tab/>
        <w:tab/>
        <w:t>А.Л. Романов</w:t>
      </w:r>
    </w:p>
    <w:p>
      <w:pPr>
        <w:pStyle w:val="Normal"/>
        <w:widowControl/>
        <w:bidi w:val="0"/>
        <w:ind w:left="0" w:right="0" w:firstLine="10488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Default"/>
        <w:jc w:val="center"/>
        <w:rPr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12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qFormat/>
    <w:rsid w:val="00ae128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07b29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fd5773"/>
    <w:rPr>
      <w:color w:val="0000FF" w:themeColor="hyperlink"/>
      <w:u w:val="single"/>
    </w:rPr>
  </w:style>
  <w:style w:type="character" w:styleId="Strong">
    <w:name w:val="Strong"/>
    <w:uiPriority w:val="22"/>
    <w:qFormat/>
    <w:rsid w:val="000b02fb"/>
    <w:rPr>
      <w:b/>
      <w:bCs/>
    </w:rPr>
  </w:style>
  <w:style w:type="character" w:styleId="2" w:customStyle="1">
    <w:name w:val="Основной текст (2)_"/>
    <w:basedOn w:val="DefaultParagraphFont"/>
    <w:link w:val="20"/>
    <w:qFormat/>
    <w:locked/>
    <w:rsid w:val="001f4281"/>
    <w:rPr>
      <w:sz w:val="28"/>
      <w:szCs w:val="28"/>
      <w:shd w:fill="FFFFFF" w:val="clear"/>
    </w:rPr>
  </w:style>
  <w:style w:type="character" w:styleId="1" w:customStyle="1">
    <w:name w:val="Заголовок №1_"/>
    <w:basedOn w:val="DefaultParagraphFont"/>
    <w:link w:val="11"/>
    <w:qFormat/>
    <w:locked/>
    <w:rsid w:val="001f4281"/>
    <w:rPr>
      <w:sz w:val="28"/>
      <w:szCs w:val="28"/>
      <w:shd w:fill="FFFFFF" w:val="clear"/>
    </w:rPr>
  </w:style>
  <w:style w:type="character" w:styleId="ListLabel1">
    <w:name w:val="ListLabel 1"/>
    <w:qFormat/>
    <w:rPr>
      <w:sz w:val="28"/>
      <w:szCs w:val="28"/>
      <w:lang w:val="uk-UA"/>
    </w:rPr>
  </w:style>
  <w:style w:type="character" w:styleId="Style16">
    <w:name w:val="Выделение"/>
    <w:qFormat/>
    <w:rPr>
      <w:i/>
      <w:iCs/>
    </w:rPr>
  </w:style>
  <w:style w:type="character" w:styleId="ListLabel2">
    <w:name w:val="ListLabel 2"/>
    <w:qFormat/>
    <w:rPr>
      <w:sz w:val="28"/>
      <w:szCs w:val="28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Title"/>
    <w:basedOn w:val="Normal"/>
    <w:next w:val="Style18"/>
    <w:qFormat/>
    <w:rsid w:val="00ae1280"/>
    <w:pPr>
      <w:jc w:val="center"/>
    </w:pPr>
    <w:rPr>
      <w:sz w:val="24"/>
      <w:lang w:val="uk-U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70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07b29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372cf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Абзац списка1"/>
    <w:basedOn w:val="Normal"/>
    <w:qFormat/>
    <w:rsid w:val="001f4281"/>
    <w:pPr>
      <w:suppressAutoHyphens w:val="true"/>
      <w:spacing w:lineRule="atLeast" w:line="100"/>
      <w:ind w:left="720" w:hanging="0"/>
    </w:pPr>
    <w:rPr>
      <w:color w:val="auto"/>
      <w:sz w:val="24"/>
      <w:szCs w:val="24"/>
      <w:lang w:eastAsia="ar-SA"/>
    </w:rPr>
  </w:style>
  <w:style w:type="paragraph" w:styleId="21" w:customStyle="1">
    <w:name w:val="Основной текст (2)"/>
    <w:basedOn w:val="Normal"/>
    <w:link w:val="2"/>
    <w:qFormat/>
    <w:rsid w:val="001f4281"/>
    <w:pPr>
      <w:widowControl w:val="false"/>
      <w:shd w:val="clear" w:color="auto" w:fill="FFFFFF"/>
      <w:spacing w:lineRule="exact" w:line="298"/>
      <w:ind w:hanging="360"/>
    </w:pPr>
    <w:rPr>
      <w:rFonts w:ascii="Calibri" w:hAnsi="Calibri" w:eastAsia="Calibri" w:cs="" w:asciiTheme="minorHAnsi" w:cstheme="minorBidi" w:eastAsiaTheme="minorHAnsi" w:hAnsiTheme="minorHAnsi"/>
      <w:color w:val="auto"/>
      <w:sz w:val="28"/>
      <w:szCs w:val="28"/>
      <w:lang w:eastAsia="en-US"/>
    </w:rPr>
  </w:style>
  <w:style w:type="paragraph" w:styleId="12" w:customStyle="1">
    <w:name w:val="Заголовок №1"/>
    <w:basedOn w:val="Normal"/>
    <w:link w:val="10"/>
    <w:qFormat/>
    <w:rsid w:val="001f4281"/>
    <w:pPr>
      <w:widowControl w:val="false"/>
      <w:shd w:val="clear" w:color="auto" w:fill="FFFFFF"/>
      <w:spacing w:lineRule="atLeast" w:line="240" w:before="540" w:after="420"/>
      <w:jc w:val="both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a074f"/>
    <w:pPr>
      <w:spacing w:beforeAutospacing="1" w:afterAutospacing="1"/>
    </w:pPr>
    <w:rPr>
      <w:color w:val="auto"/>
      <w:sz w:val="24"/>
      <w:szCs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4614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sh-strat-2027@ukr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534A-7C35-4BB2-9333-FD84F514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LibreOffice/6.1.0.3$Windows_X86_64 LibreOffice_project/efb621ed25068d70781dc026f7e9c5187a4decd1</Application>
  <Pages>9</Pages>
  <Words>995</Words>
  <Characters>7343</Characters>
  <CharactersWithSpaces>8354</CharactersWithSpaces>
  <Paragraphs>120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2021-01-19T09:18:00Z</dcterms:created>
  <dc:creator>User</dc:creator>
  <dc:description/>
  <dc:language>ru-RU</dc:language>
  <cp:lastModifiedBy/>
  <cp:lastPrinted>2021-12-29T16:23:43Z</cp:lastPrinted>
  <dcterms:modified xsi:type="dcterms:W3CDTF">2021-12-30T12:11:49Z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