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firstLine="10206"/>
        <w:rPr>
          <w:rFonts w:ascii="Times New Roman" w:hAnsi="Times New Roman"/>
          <w:sz w:val="28"/>
          <w:szCs w:val="28"/>
        </w:rPr>
      </w:pPr>
      <w:r>
        <w:rPr>
          <w:rFonts w:ascii="Times New Roman" w:hAnsi="Times New Roman"/>
          <w:sz w:val="28"/>
          <w:szCs w:val="28"/>
          <w:lang w:val="uk-UA"/>
        </w:rPr>
        <w:t xml:space="preserve">Додаток </w:t>
      </w:r>
    </w:p>
    <w:p>
      <w:pPr>
        <w:pStyle w:val="NoSpacing"/>
        <w:ind w:firstLine="10206"/>
        <w:rPr>
          <w:rFonts w:ascii="Times New Roman" w:hAnsi="Times New Roman"/>
          <w:sz w:val="28"/>
          <w:szCs w:val="28"/>
        </w:rPr>
      </w:pPr>
      <w:r>
        <w:rPr>
          <w:rFonts w:ascii="Times New Roman" w:hAnsi="Times New Roman"/>
          <w:sz w:val="28"/>
          <w:szCs w:val="28"/>
          <w:lang w:val="uk-UA"/>
        </w:rPr>
        <w:t xml:space="preserve">до рішення Решетилівської </w:t>
      </w:r>
    </w:p>
    <w:p>
      <w:pPr>
        <w:pStyle w:val="NoSpacing"/>
        <w:ind w:firstLine="10206"/>
        <w:rPr>
          <w:rFonts w:ascii="Times New Roman" w:hAnsi="Times New Roman"/>
          <w:sz w:val="28"/>
          <w:szCs w:val="28"/>
        </w:rPr>
      </w:pPr>
      <w:r>
        <w:rPr>
          <w:rFonts w:ascii="Times New Roman" w:hAnsi="Times New Roman"/>
          <w:sz w:val="28"/>
          <w:szCs w:val="28"/>
          <w:lang w:val="uk-UA"/>
        </w:rPr>
        <w:t>міської ради восьмого скликання</w:t>
      </w:r>
    </w:p>
    <w:p>
      <w:pPr>
        <w:pStyle w:val="NoSpacing"/>
        <w:ind w:firstLine="10206"/>
        <w:rPr/>
      </w:pPr>
      <w:r>
        <w:rPr>
          <w:rFonts w:ascii="Times New Roman" w:hAnsi="Times New Roman"/>
          <w:sz w:val="28"/>
          <w:szCs w:val="28"/>
          <w:lang w:val="uk-UA"/>
        </w:rPr>
        <w:t>26 січня 2022 року №</w:t>
      </w:r>
      <w:r>
        <w:rPr>
          <w:rFonts w:ascii="Times New Roman" w:hAnsi="Times New Roman"/>
          <w:sz w:val="28"/>
          <w:szCs w:val="28"/>
          <w:lang w:val="en-US"/>
        </w:rPr>
        <w:t>994</w:t>
      </w:r>
      <w:r>
        <w:rPr>
          <w:rFonts w:ascii="Times New Roman" w:hAnsi="Times New Roman"/>
          <w:sz w:val="28"/>
          <w:szCs w:val="28"/>
          <w:lang w:val="uk-UA"/>
        </w:rPr>
        <w:t>- 18-VIIІ</w:t>
      </w:r>
    </w:p>
    <w:p>
      <w:pPr>
        <w:pStyle w:val="NoSpacing"/>
        <w:ind w:firstLine="10206"/>
        <w:rPr/>
      </w:pPr>
      <w:r>
        <w:rPr>
          <w:rFonts w:ascii="Times New Roman" w:hAnsi="Times New Roman"/>
          <w:sz w:val="28"/>
          <w:szCs w:val="28"/>
          <w:lang w:val="uk-UA"/>
        </w:rPr>
        <w:t>(18позачергова сесія)</w:t>
      </w:r>
    </w:p>
    <w:p>
      <w:pPr>
        <w:pStyle w:val="NoSpacing"/>
        <w:widowControl/>
        <w:bidi w:val="0"/>
        <w:spacing w:lineRule="auto" w:line="240" w:before="0" w:after="0"/>
        <w:ind w:left="0" w:right="0" w:firstLine="10205"/>
        <w:jc w:val="left"/>
        <w:rPr>
          <w:lang w:eastAsia="en-US"/>
        </w:rPr>
      </w:pPr>
      <w:r>
        <w:rPr>
          <w:rFonts w:ascii="Times New Roman" w:hAnsi="Times New Roman"/>
          <w:color w:val="auto"/>
          <w:sz w:val="28"/>
          <w:szCs w:val="28"/>
          <w:lang w:val="uk-UA" w:eastAsia="en-US"/>
        </w:rPr>
        <w:t>Додаток</w:t>
      </w:r>
    </w:p>
    <w:p>
      <w:pPr>
        <w:pStyle w:val="NoSpacing"/>
        <w:widowControl/>
        <w:bidi w:val="0"/>
        <w:spacing w:lineRule="auto" w:line="240" w:before="0" w:after="0"/>
        <w:ind w:left="0" w:right="0" w:firstLine="10205"/>
        <w:jc w:val="left"/>
        <w:rPr>
          <w:lang w:eastAsia="en-US"/>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lang w:val="uk-UA" w:eastAsia="en-US"/>
        </w:rPr>
        <w:t xml:space="preserve">до Програми </w:t>
      </w:r>
    </w:p>
    <w:p>
      <w:pPr>
        <w:pStyle w:val="NoSpacing"/>
        <w:widowControl/>
        <w:bidi w:val="0"/>
        <w:spacing w:lineRule="auto" w:line="240" w:before="0" w:after="0"/>
        <w:ind w:left="0" w:right="0" w:firstLine="10205"/>
        <w:jc w:val="left"/>
        <w:rPr>
          <w:rFonts w:ascii="Times New Roman" w:hAnsi="Times New Roman" w:eastAsia="Calibri" w:cs="Times New Roman"/>
          <w:b w:val="false"/>
          <w:b w:val="false"/>
          <w:bCs w:val="false"/>
          <w:i w:val="false"/>
          <w:i w:val="false"/>
          <w:iCs w:val="false"/>
          <w:strike w:val="false"/>
          <w:dstrike w:val="false"/>
          <w:outline w:val="false"/>
          <w:shadow w:val="false"/>
          <w:color w:val="auto"/>
          <w:sz w:val="28"/>
          <w:szCs w:val="28"/>
          <w:u w:val="none"/>
          <w:lang w:val="uk-UA"/>
        </w:rPr>
      </w:pPr>
      <w:r>
        <w:rPr>
          <w:rFonts w:eastAsia="Calibri" w:cs="Times New Roman" w:ascii="Times New Roman" w:hAnsi="Times New Roman"/>
          <w:b w:val="false"/>
          <w:bCs w:val="false"/>
          <w:i w:val="false"/>
          <w:iCs w:val="false"/>
          <w:strike w:val="false"/>
          <w:dstrike w:val="false"/>
          <w:outline w:val="false"/>
          <w:shadow w:val="false"/>
          <w:color w:val="auto"/>
          <w:sz w:val="28"/>
          <w:szCs w:val="28"/>
          <w:u w:val="none"/>
          <w:lang w:val="uk-UA"/>
        </w:rPr>
      </w:r>
    </w:p>
    <w:tbl>
      <w:tblPr>
        <w:tblStyle w:val="a4"/>
        <w:tblW w:w="15348" w:type="dxa"/>
        <w:jc w:val="left"/>
        <w:tblInd w:w="0" w:type="dxa"/>
        <w:tblCellMar>
          <w:top w:w="0" w:type="dxa"/>
          <w:left w:w="108" w:type="dxa"/>
          <w:bottom w:w="0" w:type="dxa"/>
          <w:right w:w="108" w:type="dxa"/>
        </w:tblCellMar>
        <w:tblLook w:val="04a0"/>
      </w:tblPr>
      <w:tblGrid>
        <w:gridCol w:w="531"/>
        <w:gridCol w:w="5806"/>
        <w:gridCol w:w="2551"/>
        <w:gridCol w:w="881"/>
        <w:gridCol w:w="1820"/>
        <w:gridCol w:w="1915"/>
        <w:gridCol w:w="1843"/>
      </w:tblGrid>
      <w:tr>
        <w:trPr/>
        <w:tc>
          <w:tcPr>
            <w:tcW w:w="531" w:type="dxa"/>
            <w:vMerge w:val="restart"/>
            <w:tcBorders/>
            <w:shd w:fill="auto" w:val="clear"/>
            <w:vAlign w:val="center"/>
          </w:tcPr>
          <w:p>
            <w:pPr>
              <w:pStyle w:val="Normal"/>
              <w:widowControl w:val="false"/>
              <w:spacing w:lineRule="auto" w:line="240" w:before="0" w:after="0"/>
              <w:ind w:left="-113" w:right="-57" w:hanging="0"/>
              <w:jc w:val="center"/>
              <w:rPr>
                <w:rFonts w:ascii="Times New Roman" w:hAnsi="Times New Roman" w:eastAsia="Arial Unicode MS" w:cs="Times New Roman"/>
                <w:b/>
                <w:b/>
                <w:color w:val="00000A"/>
                <w:kern w:val="2"/>
                <w:sz w:val="28"/>
                <w:lang w:val="uk-UA" w:eastAsia="zh-CN" w:bidi="hi-IN"/>
              </w:rPr>
            </w:pPr>
            <w:r>
              <w:rPr>
                <w:rFonts w:eastAsia="Arial Unicode MS" w:cs="Times New Roman" w:ascii="Times New Roman" w:hAnsi="Times New Roman"/>
                <w:b/>
                <w:color w:val="00000A"/>
                <w:kern w:val="2"/>
                <w:sz w:val="28"/>
                <w:lang w:val="uk-UA" w:eastAsia="zh-CN" w:bidi="hi-IN"/>
              </w:rPr>
            </w:r>
          </w:p>
          <w:p>
            <w:pPr>
              <w:pStyle w:val="Normal"/>
              <w:widowControl w:val="false"/>
              <w:suppressAutoHyphens w:val="true"/>
              <w:spacing w:lineRule="auto" w:line="240" w:before="0" w:after="0"/>
              <w:ind w:left="-113" w:right="-57" w:hanging="0"/>
              <w:jc w:val="center"/>
              <w:rPr>
                <w:rFonts w:ascii="Times New Roman" w:hAnsi="Times New Roman" w:eastAsia="Arial Unicode MS" w:cs="Times New Roman"/>
                <w:b/>
                <w:b/>
                <w:color w:val="00000A"/>
                <w:kern w:val="2"/>
                <w:sz w:val="28"/>
                <w:lang w:val="uk-UA" w:eastAsia="zh-CN" w:bidi="hi-IN"/>
              </w:rPr>
            </w:pPr>
            <w:r>
              <w:rPr>
                <w:rFonts w:eastAsia="Calibri" w:cs="Times New Roman" w:eastAsiaTheme="minorHAnsi"/>
                <w:b/>
                <w:sz w:val="28"/>
                <w:lang w:eastAsia="en-US"/>
              </w:rPr>
              <w:t>з/п</w:t>
            </w:r>
          </w:p>
        </w:tc>
        <w:tc>
          <w:tcPr>
            <w:tcW w:w="5806" w:type="dxa"/>
            <w:vMerge w:val="restart"/>
            <w:tcBorders/>
            <w:shd w:fill="auto" w:val="clear"/>
            <w:vAlign w:val="cente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sz w:val="28"/>
                <w:lang w:val="uk-UA" w:eastAsia="zh-CN"/>
              </w:rPr>
              <w:t>Назва заходу Програми</w:t>
            </w:r>
          </w:p>
        </w:tc>
        <w:tc>
          <w:tcPr>
            <w:tcW w:w="2551" w:type="dxa"/>
            <w:vMerge w:val="restart"/>
            <w:tcBorders/>
            <w:shd w:fill="auto" w:val="clear"/>
            <w:vAlign w:val="cente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sz w:val="28"/>
                <w:lang w:val="uk-UA" w:eastAsia="zh-CN"/>
              </w:rPr>
              <w:t>Виконавці</w:t>
            </w:r>
          </w:p>
        </w:tc>
        <w:tc>
          <w:tcPr>
            <w:tcW w:w="6459" w:type="dxa"/>
            <w:gridSpan w:val="4"/>
            <w:tcBorders/>
            <w:shd w:fill="auto" w:val="clear"/>
            <w:vAlign w:val="center"/>
          </w:tcPr>
          <w:p>
            <w:pPr>
              <w:pStyle w:val="Normal"/>
              <w:widowControl w:val="false"/>
              <w:shd w:val="clear" w:color="auto" w:fill="FFFFFF"/>
              <w:spacing w:lineRule="auto" w:line="240" w:before="0" w:after="0"/>
              <w:ind w:left="-113" w:right="-57" w:hanging="0"/>
              <w:jc w:val="center"/>
              <w:rPr>
                <w:rFonts w:ascii="Times New Roman" w:hAnsi="Times New Roman" w:eastAsia="Arial Unicode MS" w:cs="Times New Roman"/>
                <w:b/>
                <w:b/>
                <w:color w:val="00000A"/>
                <w:kern w:val="2"/>
                <w:sz w:val="28"/>
                <w:lang w:val="uk-UA" w:eastAsia="zh-CN" w:bidi="hi-IN"/>
              </w:rPr>
            </w:pPr>
            <w:r>
              <w:rPr>
                <w:rFonts w:eastAsia="Calibri" w:cs="Times New Roman" w:ascii="Times New Roman" w:hAnsi="Times New Roman" w:eastAsiaTheme="minorHAnsi"/>
                <w:b/>
                <w:sz w:val="28"/>
                <w:lang w:eastAsia="en-US"/>
              </w:rPr>
              <w:t>Орієнтовний</w:t>
            </w:r>
          </w:p>
          <w:p>
            <w:pPr>
              <w:pStyle w:val="Normal"/>
              <w:widowControl w:val="false"/>
              <w:shd w:val="clear" w:color="auto" w:fill="FFFFFF"/>
              <w:suppressAutoHyphens w:val="true"/>
              <w:spacing w:lineRule="auto" w:line="240" w:before="0" w:after="0"/>
              <w:ind w:left="-113" w:right="-57" w:hanging="0"/>
              <w:jc w:val="center"/>
              <w:rPr>
                <w:rFonts w:ascii="Times New Roman" w:hAnsi="Times New Roman" w:eastAsia="Arial Unicode MS" w:cs="Times New Roman"/>
                <w:b/>
                <w:b/>
                <w:color w:val="00000A"/>
                <w:kern w:val="2"/>
                <w:sz w:val="28"/>
                <w:lang w:val="uk-UA" w:eastAsia="zh-CN" w:bidi="hi-IN"/>
              </w:rPr>
            </w:pPr>
            <w:r>
              <w:rPr>
                <w:rFonts w:eastAsia="Calibri" w:cs="Times New Roman" w:ascii="Times New Roman" w:hAnsi="Times New Roman" w:eastAsiaTheme="minorHAnsi"/>
                <w:b/>
                <w:sz w:val="28"/>
                <w:lang w:eastAsia="en-US"/>
              </w:rPr>
              <w:t>обсяг фінансування по роках, тис.грн.</w:t>
            </w:r>
          </w:p>
        </w:tc>
      </w:tr>
      <w:tr>
        <w:trPr/>
        <w:tc>
          <w:tcPr>
            <w:tcW w:w="531"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color w:val="00000A"/>
                <w:kern w:val="2"/>
                <w:sz w:val="28"/>
                <w:lang w:val="uk-UA" w:eastAsia="en-US" w:bidi="hi-IN"/>
              </w:rPr>
            </w:pPr>
            <w:r>
              <w:rPr>
                <w:rFonts w:eastAsia="Calibri" w:cs="Times New Roman" w:eastAsiaTheme="minorHAnsi" w:ascii="Times New Roman" w:hAnsi="Times New Roman"/>
                <w:b/>
                <w:color w:val="00000A"/>
                <w:kern w:val="2"/>
                <w:sz w:val="28"/>
                <w:lang w:val="uk-UA" w:eastAsia="en-US" w:bidi="hi-IN"/>
              </w:rPr>
            </w:r>
          </w:p>
        </w:tc>
        <w:tc>
          <w:tcPr>
            <w:tcW w:w="5806"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2551" w:type="dxa"/>
            <w:vMerge w:val="continue"/>
            <w:tcBorders/>
            <w:shd w:fill="auto" w:val="clear"/>
            <w:vAlign w:val="center"/>
          </w:tcPr>
          <w:p>
            <w:pPr>
              <w:pStyle w:val="Normal"/>
              <w:spacing w:lineRule="auto" w:line="240" w:before="0" w:after="0"/>
              <w:rPr>
                <w:rFonts w:ascii="Times New Roman" w:hAnsi="Times New Roman" w:eastAsia="Calibri" w:cs="Times New Roman" w:eastAsiaTheme="minorHAnsi"/>
                <w:b/>
                <w:b/>
                <w:sz w:val="28"/>
                <w:szCs w:val="28"/>
                <w:lang w:val="uk-UA" w:eastAsia="en-US"/>
              </w:rPr>
            </w:pPr>
            <w:r>
              <w:rPr>
                <w:rFonts w:eastAsia="Calibri" w:cs="Times New Roman" w:eastAsiaTheme="minorHAnsi" w:ascii="Times New Roman" w:hAnsi="Times New Roman"/>
                <w:b/>
                <w:sz w:val="28"/>
                <w:szCs w:val="28"/>
                <w:lang w:val="uk-UA" w:eastAsia="en-US"/>
              </w:rPr>
            </w:r>
          </w:p>
        </w:tc>
        <w:tc>
          <w:tcPr>
            <w:tcW w:w="881"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2021</w:t>
            </w:r>
          </w:p>
        </w:tc>
        <w:tc>
          <w:tcPr>
            <w:tcW w:w="1820"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2022</w:t>
            </w:r>
          </w:p>
        </w:tc>
        <w:tc>
          <w:tcPr>
            <w:tcW w:w="1915"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2023</w:t>
            </w:r>
            <w:bookmarkStart w:id="0" w:name="_GoBack"/>
            <w:bookmarkEnd w:id="0"/>
          </w:p>
        </w:tc>
        <w:tc>
          <w:tcPr>
            <w:tcW w:w="1843"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РАЗОМ</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w:t>
            </w:r>
          </w:p>
        </w:tc>
        <w:tc>
          <w:tcPr>
            <w:tcW w:w="5806"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Залучення співробітників УСБУ в Полтавській області та Сектору поліцейської діяльності № 1 відділу поліції № 2 Полтавського районного управління поліції ГУНП в Полтавській області для ведення профілактично-роз’яснювальної роботи серед працівників та посадових осіб органів місцевого самоврядування з метою запобігання корупційним проявам</w:t>
            </w:r>
            <w:r>
              <w:rPr>
                <w:rFonts w:eastAsia="Calibri" w:ascii="Times New Roman" w:hAnsi="Times New Roman" w:eastAsiaTheme="minorHAnsi"/>
                <w:i/>
                <w:sz w:val="28"/>
                <w:szCs w:val="28"/>
                <w:lang w:val="uk-UA" w:eastAsia="en-US"/>
              </w:rPr>
              <w:t>(щоквартально)</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Виконавчий комітет, УСБУ, </w:t>
            </w:r>
            <w:r>
              <w:rPr>
                <w:rFonts w:eastAsia="Calibri" w:ascii="Times New Roman" w:hAnsi="Times New Roman" w:eastAsiaTheme="minorHAnsi"/>
                <w:sz w:val="28"/>
                <w:szCs w:val="28"/>
                <w:lang w:val="uk-UA" w:eastAsia="en-US"/>
              </w:rPr>
              <w:t>СПД № 1 ВП №2 Полтавського РУП</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2</w:t>
            </w:r>
          </w:p>
        </w:tc>
        <w:tc>
          <w:tcPr>
            <w:tcW w:w="5806"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Надання інформації та доступу до матеріалів роботи колегіальних органів, посадових осіб та працівників виконавчого комітету</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3</w:t>
            </w:r>
          </w:p>
        </w:tc>
        <w:tc>
          <w:tcPr>
            <w:tcW w:w="5806" w:type="dxa"/>
            <w:tcBorders/>
            <w:shd w:fill="auto" w:val="clear"/>
          </w:tcPr>
          <w:p>
            <w:pPr>
              <w:pStyle w:val="NoSpacing"/>
              <w:spacing w:lineRule="auto" w:line="240" w:before="0" w:after="0"/>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 xml:space="preserve">Надання організаційної та інформаційної підтримки стосовно удосконалення та актуалізації планів запобігання терористичним проявам на потенційно небезпечних об’єктах громади </w:t>
            </w:r>
            <w:r>
              <w:rPr>
                <w:rFonts w:eastAsia="Calibri" w:ascii="Times New Roman" w:hAnsi="Times New Roman" w:eastAsiaTheme="minorHAnsi"/>
                <w:i/>
                <w:sz w:val="28"/>
                <w:szCs w:val="28"/>
                <w:lang w:val="uk-UA" w:eastAsia="en-US"/>
              </w:rPr>
              <w:t>(щопівроку, або у разі зміни нормативно-правової бази)</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УСБУ</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4</w:t>
            </w:r>
          </w:p>
        </w:tc>
        <w:tc>
          <w:tcPr>
            <w:tcW w:w="5806" w:type="dxa"/>
            <w:tcBorders/>
            <w:shd w:fill="auto" w:val="clear"/>
          </w:tcPr>
          <w:p>
            <w:pPr>
              <w:pStyle w:val="NoSpacing"/>
              <w:spacing w:lineRule="auto" w:line="240" w:before="0" w:after="0"/>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Проведення із залученням співробітників УСБУ в Полтавській області профілактично-роз'яснювальної роботи серед мешканців громади з метою недопущення поширення впливу екстремістських та терористичних течій, здійснювати своєчасне виявлення фактів можливої діяльності на території громади представників радикалізованих угрупувань, які не виключають екстремістських форм ведення діяльності, вчинення антигромадських та антиконституційних дій, спрямованих на завдання шкоди державним інтересам та інтересам громади, на порушення прав і свобод мешканців громади</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 УСБУ,</w:t>
            </w:r>
          </w:p>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громадськість</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0,0</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5</w:t>
            </w:r>
          </w:p>
        </w:tc>
        <w:tc>
          <w:tcPr>
            <w:tcW w:w="5806"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Створення центру безпеки в громаді (місцеві шерифи)</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6</w:t>
            </w:r>
          </w:p>
        </w:tc>
        <w:tc>
          <w:tcPr>
            <w:tcW w:w="5806"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Вжиття спільних заходів із запобігання зрощування кримінальних структур з владними органами, розвитку організованої злочинності, недопущення втягнення у злочинну діяльність нових соціальних груп, особливо неповнолітніх</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Виконавчий комітет, УСБУ, </w:t>
            </w:r>
            <w:r>
              <w:rPr>
                <w:rFonts w:eastAsia="Calibri" w:ascii="Times New Roman" w:hAnsi="Times New Roman" w:eastAsiaTheme="minorHAnsi"/>
                <w:sz w:val="28"/>
                <w:szCs w:val="28"/>
                <w:lang w:val="uk-UA" w:eastAsia="en-US"/>
              </w:rPr>
              <w:t>СПД № 1 ВП №2 Полтавського РУП</w:t>
            </w:r>
            <w:r>
              <w:rPr>
                <w:rFonts w:eastAsia="Calibri" w:ascii="Times New Roman" w:hAnsi="Times New Roman" w:eastAsiaTheme="minorHAnsi"/>
                <w:color w:val="auto"/>
                <w:sz w:val="28"/>
                <w:szCs w:val="28"/>
                <w:lang w:val="uk-UA" w:eastAsia="en-US"/>
              </w:rPr>
              <w:t>,</w:t>
            </w:r>
          </w:p>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громадськість</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7</w:t>
            </w:r>
          </w:p>
        </w:tc>
        <w:tc>
          <w:tcPr>
            <w:tcW w:w="5806"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Проведення цільових оперативно-розшукових та профілактичних заходів, рейдів та цільових операцій за участю органів місцевого самоврядування та громадськості</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Виконавчий комітет, УСБУ, </w:t>
            </w:r>
            <w:r>
              <w:rPr>
                <w:rFonts w:eastAsia="Calibri" w:ascii="Times New Roman" w:hAnsi="Times New Roman" w:eastAsiaTheme="minorHAnsi"/>
                <w:sz w:val="28"/>
                <w:szCs w:val="28"/>
                <w:lang w:val="uk-UA" w:eastAsia="en-US"/>
              </w:rPr>
              <w:t>СПД № 1 ВП №2 Полтавського РУП</w:t>
            </w:r>
            <w:r>
              <w:rPr>
                <w:rFonts w:eastAsia="Calibri" w:ascii="Times New Roman" w:hAnsi="Times New Roman" w:eastAsiaTheme="minorHAnsi"/>
                <w:color w:val="auto"/>
                <w:sz w:val="28"/>
                <w:szCs w:val="28"/>
                <w:lang w:val="uk-UA" w:eastAsia="en-US"/>
              </w:rPr>
              <w:t>,</w:t>
            </w:r>
          </w:p>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громадськість</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8</w:t>
            </w:r>
          </w:p>
        </w:tc>
        <w:tc>
          <w:tcPr>
            <w:tcW w:w="5806" w:type="dxa"/>
            <w:tcBorders/>
            <w:shd w:fill="auto" w:val="clear"/>
          </w:tcPr>
          <w:p>
            <w:pPr>
              <w:pStyle w:val="NoSpacing"/>
              <w:spacing w:lineRule="auto" w:line="240" w:before="0" w:after="0"/>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Забезпечення публічної безпеки і порядку під час проведення загальнополітичних, культурно-мистецьких, спортивних, релігійних та інших заходів</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УСБУ, </w:t>
            </w:r>
          </w:p>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СПД № 1 ВП №2 Полтавського РУП</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9</w:t>
            </w:r>
          </w:p>
        </w:tc>
        <w:tc>
          <w:tcPr>
            <w:tcW w:w="5806" w:type="dxa"/>
            <w:tcBorders/>
            <w:shd w:fill="auto" w:val="clear"/>
          </w:tcPr>
          <w:p>
            <w:pPr>
              <w:pStyle w:val="NoSpacing"/>
              <w:spacing w:lineRule="auto" w:line="240" w:before="0" w:after="0"/>
              <w:jc w:val="both"/>
              <w:rPr>
                <w:rFonts w:ascii="Times New Roman" w:hAnsi="Times New Roman"/>
                <w:sz w:val="28"/>
                <w:szCs w:val="28"/>
                <w:lang w:val="uk-UA"/>
              </w:rPr>
            </w:pPr>
            <w:r>
              <w:rPr>
                <w:rFonts w:eastAsia="Calibri" w:ascii="Times New Roman" w:hAnsi="Times New Roman" w:eastAsiaTheme="minorHAnsi"/>
                <w:sz w:val="28"/>
                <w:szCs w:val="28"/>
                <w:lang w:val="uk-UA" w:eastAsia="en-US"/>
              </w:rPr>
              <w:t xml:space="preserve">Покращення матеріально-технічного забезпечення Управління СБУ в Полтавській області </w:t>
            </w:r>
          </w:p>
          <w:p>
            <w:pPr>
              <w:pStyle w:val="NoSpacing"/>
              <w:spacing w:lineRule="auto" w:line="240" w:before="0" w:after="0"/>
              <w:jc w:val="both"/>
              <w:rPr>
                <w:rFonts w:ascii="Times New Roman" w:hAnsi="Times New Roman"/>
                <w:sz w:val="28"/>
                <w:szCs w:val="28"/>
                <w:lang w:val="uk-UA"/>
              </w:rPr>
            </w:pPr>
            <w:r>
              <w:rPr>
                <w:rFonts w:eastAsia="Calibri" w:ascii="Times New Roman" w:hAnsi="Times New Roman" w:eastAsiaTheme="minorHAnsi"/>
                <w:i/>
                <w:sz w:val="28"/>
                <w:szCs w:val="28"/>
                <w:lang w:val="uk-UA" w:eastAsia="en-US"/>
              </w:rPr>
              <w:t>(надання субвенції з місцевого бюджету для придбання електронно-обчислювальної техніки; техніки та обладнання спеціального призначення; паливно-мастильних матеріалів)</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 УСБУ</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300,0</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w:t>
            </w:r>
          </w:p>
        </w:tc>
        <w:tc>
          <w:tcPr>
            <w:tcW w:w="5806" w:type="dxa"/>
            <w:tcBorders/>
            <w:shd w:fill="auto" w:val="clear"/>
          </w:tcPr>
          <w:p>
            <w:pPr>
              <w:pStyle w:val="NoSpacing"/>
              <w:spacing w:lineRule="auto" w:line="240" w:before="0" w:after="0"/>
              <w:jc w:val="both"/>
              <w:rPr>
                <w:rFonts w:ascii="Times New Roman" w:hAnsi="Times New Roman"/>
                <w:i/>
                <w:i/>
                <w:sz w:val="28"/>
                <w:szCs w:val="28"/>
                <w:lang w:val="uk-UA"/>
              </w:rPr>
            </w:pPr>
            <w:r>
              <w:rPr>
                <w:rFonts w:eastAsia="Calibri" w:ascii="Times New Roman" w:hAnsi="Times New Roman" w:eastAsiaTheme="minorHAnsi"/>
                <w:sz w:val="28"/>
                <w:szCs w:val="28"/>
                <w:lang w:val="uk-UA" w:eastAsia="en-US"/>
              </w:rPr>
              <w:t>Покращення матеріально-технічного забезпечення Сектору поліцейської діяльності № 1 відділу поліції № 2 Полтавського районного управління поліції ГУНП в Полтавській області</w:t>
            </w:r>
            <w:r>
              <w:rPr>
                <w:rFonts w:eastAsia="Calibri" w:ascii="Times New Roman" w:hAnsi="Times New Roman" w:eastAsiaTheme="minorHAnsi"/>
                <w:i/>
                <w:sz w:val="28"/>
                <w:szCs w:val="28"/>
                <w:lang w:val="uk-UA" w:eastAsia="en-US"/>
              </w:rPr>
              <w:t xml:space="preserve"> (надання субвенції з місцевого бюджету для придбання електронно-обчислювальної техніки; техніки та обладнання спеціального призначення; паливно-мастильних матеріалів)</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Виконавчий комітет, </w:t>
            </w:r>
          </w:p>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СПД № 1 ВП №2 Полтавського РУП</w:t>
            </w:r>
            <w:r>
              <w:rPr>
                <w:rFonts w:eastAsia="Calibri" w:ascii="Times New Roman" w:hAnsi="Times New Roman" w:eastAsiaTheme="minorHAnsi"/>
                <w:color w:val="auto"/>
                <w:sz w:val="28"/>
                <w:szCs w:val="28"/>
                <w:lang w:val="uk-UA" w:eastAsia="en-US"/>
              </w:rPr>
              <w:t xml:space="preserve"> </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100,0</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300,0</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11</w:t>
            </w:r>
          </w:p>
        </w:tc>
        <w:tc>
          <w:tcPr>
            <w:tcW w:w="5806"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 xml:space="preserve">Встановлення тривожних кнопок екстреного реагування </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w:t>
            </w:r>
          </w:p>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sz w:val="28"/>
                <w:szCs w:val="28"/>
                <w:lang w:val="uk-UA" w:eastAsia="en-US"/>
              </w:rPr>
              <w:t>СПД № 1 ВП №2 Полтавського РУП</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w:t>
            </w:r>
          </w:p>
        </w:tc>
      </w:tr>
      <w:tr>
        <w:trPr/>
        <w:tc>
          <w:tcPr>
            <w:tcW w:w="53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12</w:t>
            </w:r>
          </w:p>
        </w:tc>
        <w:tc>
          <w:tcPr>
            <w:tcW w:w="5806"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Встановлення камер відеонагляду по соціально значущих об’єктах в населених пунктах громади</w:t>
            </w:r>
          </w:p>
          <w:p>
            <w:pPr>
              <w:pStyle w:val="NoSpacing"/>
              <w:spacing w:lineRule="auto" w:line="240" w:before="0" w:after="0"/>
              <w:jc w:val="both"/>
              <w:rPr>
                <w:rFonts w:ascii="Times New Roman" w:hAnsi="Times New Roman" w:eastAsia="Calibri"/>
                <w:color w:val="auto"/>
                <w:sz w:val="28"/>
                <w:szCs w:val="28"/>
                <w:lang w:val="uk-UA" w:eastAsia="en-US"/>
              </w:rPr>
            </w:pPr>
            <w:r>
              <w:rPr>
                <w:rFonts w:eastAsia="Calibri" w:ascii="Times New Roman" w:hAnsi="Times New Roman"/>
                <w:color w:val="auto"/>
                <w:sz w:val="28"/>
                <w:szCs w:val="28"/>
                <w:lang w:val="uk-UA" w:eastAsia="en-US"/>
              </w:rPr>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w:t>
            </w:r>
          </w:p>
        </w:tc>
        <w:tc>
          <w:tcPr>
            <w:tcW w:w="881"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en-US" w:eastAsia="en-US"/>
              </w:rPr>
              <w:t>200</w:t>
            </w:r>
            <w:r>
              <w:rPr>
                <w:rFonts w:eastAsia="Calibri" w:ascii="Times New Roman" w:hAnsi="Times New Roman" w:eastAsiaTheme="minorHAnsi"/>
                <w:color w:val="auto"/>
                <w:sz w:val="28"/>
                <w:szCs w:val="28"/>
                <w:lang w:val="uk-UA" w:eastAsia="en-US"/>
              </w:rPr>
              <w:t>,0</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200,0</w:t>
            </w:r>
          </w:p>
        </w:tc>
        <w:tc>
          <w:tcPr>
            <w:tcW w:w="1915"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200,0</w:t>
            </w:r>
          </w:p>
        </w:tc>
        <w:tc>
          <w:tcPr>
            <w:tcW w:w="1843"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600,0</w:t>
            </w:r>
          </w:p>
        </w:tc>
      </w:tr>
      <w:tr>
        <w:trPr/>
        <w:tc>
          <w:tcPr>
            <w:tcW w:w="531" w:type="dxa"/>
            <w:tcBorders/>
            <w:shd w:fill="auto" w:val="clear"/>
          </w:tcPr>
          <w:p>
            <w:pPr>
              <w:pStyle w:val="NoSpacing"/>
              <w:spacing w:lineRule="auto" w:line="240" w:before="0" w:after="0"/>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13</w:t>
            </w:r>
          </w:p>
        </w:tc>
        <w:tc>
          <w:tcPr>
            <w:tcW w:w="5806" w:type="dxa"/>
            <w:tcBorders/>
            <w:shd w:fill="auto" w:val="clear"/>
          </w:tcPr>
          <w:p>
            <w:pPr>
              <w:pStyle w:val="NoSpacing"/>
              <w:spacing w:lineRule="auto" w:line="240" w:before="0" w:after="0"/>
              <w:rPr>
                <w:rFonts w:ascii="Times New Roman" w:hAnsi="Times New Roman"/>
                <w:b/>
                <w:b/>
                <w:color w:val="auto"/>
                <w:sz w:val="28"/>
                <w:szCs w:val="28"/>
                <w:lang w:val="uk-UA"/>
              </w:rPr>
            </w:pPr>
            <w:r>
              <w:rPr>
                <w:rFonts w:eastAsia="Calibri" w:ascii="Times New Roman" w:hAnsi="Times New Roman" w:eastAsiaTheme="minorHAnsi"/>
                <w:sz w:val="28"/>
                <w:szCs w:val="28"/>
                <w:lang w:val="uk-UA" w:eastAsia="en-US"/>
              </w:rPr>
              <w:t>Придбання та забезпечення належної роботи камер відеонагляду, які розміщені в населених пунктах громади (оплата робіт та послуг з утримання та ремонту відеокамер, доступу до мережі інтернет)</w:t>
            </w:r>
          </w:p>
        </w:tc>
        <w:tc>
          <w:tcPr>
            <w:tcW w:w="2551" w:type="dxa"/>
            <w:tcBorders/>
            <w:shd w:fill="auto" w:val="clear"/>
          </w:tcPr>
          <w:p>
            <w:pPr>
              <w:pStyle w:val="NoSpacing"/>
              <w:spacing w:lineRule="auto" w:line="240" w:before="0" w:after="0"/>
              <w:jc w:val="both"/>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Виконавчий комітет міської ради, інтернет-провайдери</w:t>
            </w:r>
          </w:p>
        </w:tc>
        <w:tc>
          <w:tcPr>
            <w:tcW w:w="881" w:type="dxa"/>
            <w:tcBorders/>
            <w:shd w:fill="auto" w:val="clear"/>
          </w:tcPr>
          <w:p>
            <w:pPr>
              <w:pStyle w:val="NoSpacing"/>
              <w:spacing w:lineRule="auto" w:line="240" w:before="0" w:after="0"/>
              <w:jc w:val="center"/>
              <w:rPr>
                <w:rFonts w:ascii="Times New Roman" w:hAnsi="Times New Roman" w:eastAsia="Calibri"/>
                <w:b/>
                <w:b/>
                <w:color w:val="auto"/>
                <w:sz w:val="28"/>
                <w:szCs w:val="28"/>
                <w:lang w:val="uk-UA" w:eastAsia="en-US"/>
              </w:rPr>
            </w:pPr>
            <w:r>
              <w:rPr>
                <w:rFonts w:eastAsia="Calibri" w:ascii="Times New Roman" w:hAnsi="Times New Roman"/>
                <w:b/>
                <w:color w:val="auto"/>
                <w:sz w:val="28"/>
                <w:szCs w:val="28"/>
                <w:lang w:val="uk-UA" w:eastAsia="en-US"/>
              </w:rPr>
            </w:r>
          </w:p>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w:t>
            </w:r>
          </w:p>
        </w:tc>
        <w:tc>
          <w:tcPr>
            <w:tcW w:w="1820" w:type="dxa"/>
            <w:tcBorders/>
            <w:shd w:fill="auto" w:val="clear"/>
          </w:tcPr>
          <w:p>
            <w:pPr>
              <w:pStyle w:val="NoSpacing"/>
              <w:spacing w:lineRule="auto" w:line="240" w:before="0" w:after="0"/>
              <w:jc w:val="center"/>
              <w:rPr>
                <w:rFonts w:ascii="Times New Roman" w:hAnsi="Times New Roman"/>
                <w:color w:val="auto"/>
                <w:sz w:val="28"/>
                <w:szCs w:val="28"/>
                <w:lang w:val="uk-UA"/>
              </w:rPr>
            </w:pPr>
            <w:r>
              <w:rPr>
                <w:rFonts w:eastAsia="Calibri" w:ascii="Times New Roman" w:hAnsi="Times New Roman" w:eastAsiaTheme="minorHAnsi"/>
                <w:color w:val="auto"/>
                <w:sz w:val="28"/>
                <w:szCs w:val="28"/>
                <w:lang w:val="uk-UA" w:eastAsia="en-US"/>
              </w:rPr>
              <w:t>ЗП, у межах кошторисних видатків</w:t>
            </w:r>
          </w:p>
        </w:tc>
        <w:tc>
          <w:tcPr>
            <w:tcW w:w="1915" w:type="dxa"/>
            <w:tcBorders/>
            <w:shd w:fill="auto" w:val="clear"/>
          </w:tcPr>
          <w:p>
            <w:pPr>
              <w:pStyle w:val="Normal"/>
              <w:spacing w:lineRule="auto" w:line="240" w:before="0" w:after="0"/>
              <w:jc w:val="center"/>
              <w:rPr>
                <w:rFonts w:eastAsia="Calibri" w:eastAsiaTheme="minorHAnsi"/>
                <w:sz w:val="20"/>
                <w:lang w:eastAsia="en-US"/>
              </w:rPr>
            </w:pPr>
            <w:r>
              <w:rPr>
                <w:rFonts w:eastAsia="Calibri" w:ascii="Times New Roman" w:hAnsi="Times New Roman" w:eastAsiaTheme="minorHAnsi"/>
                <w:sz w:val="28"/>
                <w:szCs w:val="28"/>
                <w:lang w:val="uk-UA" w:eastAsia="en-US"/>
              </w:rPr>
              <w:t>ЗП, у межах кошторисних видатків</w:t>
            </w:r>
          </w:p>
        </w:tc>
        <w:tc>
          <w:tcPr>
            <w:tcW w:w="1843" w:type="dxa"/>
            <w:tcBorders/>
            <w:shd w:fill="auto" w:val="clear"/>
          </w:tcPr>
          <w:p>
            <w:pPr>
              <w:pStyle w:val="Normal"/>
              <w:spacing w:lineRule="auto" w:line="240" w:before="0" w:after="0"/>
              <w:jc w:val="center"/>
              <w:rPr>
                <w:rFonts w:eastAsia="Calibri" w:eastAsiaTheme="minorHAnsi"/>
                <w:sz w:val="20"/>
                <w:lang w:eastAsia="en-US"/>
              </w:rPr>
            </w:pPr>
            <w:r>
              <w:rPr>
                <w:rFonts w:eastAsia="Calibri" w:ascii="Times New Roman" w:hAnsi="Times New Roman" w:eastAsiaTheme="minorHAnsi"/>
                <w:sz w:val="28"/>
                <w:szCs w:val="28"/>
                <w:lang w:val="uk-UA" w:eastAsia="en-US"/>
              </w:rPr>
              <w:t>ЗП, у межах кошторисних видатків</w:t>
            </w:r>
          </w:p>
        </w:tc>
      </w:tr>
      <w:tr>
        <w:trPr/>
        <w:tc>
          <w:tcPr>
            <w:tcW w:w="531" w:type="dxa"/>
            <w:tcBorders/>
            <w:shd w:fill="auto" w:val="clear"/>
          </w:tcPr>
          <w:p>
            <w:pPr>
              <w:pStyle w:val="NoSpacing"/>
              <w:spacing w:lineRule="auto" w:line="240" w:before="0" w:after="0"/>
              <w:jc w:val="both"/>
              <w:rPr>
                <w:rFonts w:ascii="Times New Roman" w:hAnsi="Times New Roman" w:eastAsia="Calibri" w:eastAsiaTheme="minorHAnsi"/>
                <w:color w:val="auto"/>
                <w:sz w:val="28"/>
                <w:szCs w:val="28"/>
                <w:lang w:val="uk-UA" w:eastAsia="en-US"/>
              </w:rPr>
            </w:pPr>
            <w:r>
              <w:rPr>
                <w:rFonts w:eastAsia="Calibri" w:eastAsiaTheme="minorHAnsi" w:ascii="Times New Roman" w:hAnsi="Times New Roman"/>
                <w:color w:val="auto"/>
                <w:sz w:val="28"/>
                <w:szCs w:val="28"/>
                <w:lang w:val="uk-UA" w:eastAsia="en-US"/>
              </w:rPr>
            </w:r>
          </w:p>
        </w:tc>
        <w:tc>
          <w:tcPr>
            <w:tcW w:w="5806"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Всього:</w:t>
            </w:r>
          </w:p>
        </w:tc>
        <w:tc>
          <w:tcPr>
            <w:tcW w:w="2551" w:type="dxa"/>
            <w:tcBorders/>
            <w:shd w:fill="auto" w:val="clear"/>
          </w:tcPr>
          <w:p>
            <w:pPr>
              <w:pStyle w:val="NoSpacing"/>
              <w:spacing w:lineRule="auto" w:line="240" w:before="0" w:after="0"/>
              <w:jc w:val="both"/>
              <w:rPr>
                <w:rFonts w:ascii="Times New Roman" w:hAnsi="Times New Roman" w:eastAsia="Calibri" w:eastAsiaTheme="minorHAnsi"/>
                <w:color w:val="auto"/>
                <w:sz w:val="28"/>
                <w:szCs w:val="28"/>
                <w:lang w:val="uk-UA" w:eastAsia="en-US"/>
              </w:rPr>
            </w:pPr>
            <w:r>
              <w:rPr>
                <w:rFonts w:eastAsia="Calibri" w:eastAsiaTheme="minorHAnsi" w:ascii="Times New Roman" w:hAnsi="Times New Roman"/>
                <w:color w:val="auto"/>
                <w:sz w:val="28"/>
                <w:szCs w:val="28"/>
                <w:lang w:val="uk-UA" w:eastAsia="en-US"/>
              </w:rPr>
            </w:r>
          </w:p>
        </w:tc>
        <w:tc>
          <w:tcPr>
            <w:tcW w:w="881"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400,0</w:t>
            </w:r>
          </w:p>
        </w:tc>
        <w:tc>
          <w:tcPr>
            <w:tcW w:w="1820"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400,0</w:t>
            </w:r>
          </w:p>
        </w:tc>
        <w:tc>
          <w:tcPr>
            <w:tcW w:w="1915"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400,0</w:t>
            </w:r>
          </w:p>
        </w:tc>
        <w:tc>
          <w:tcPr>
            <w:tcW w:w="1843" w:type="dxa"/>
            <w:tcBorders/>
            <w:shd w:fill="auto" w:val="clear"/>
          </w:tcPr>
          <w:p>
            <w:pPr>
              <w:pStyle w:val="NoSpacing"/>
              <w:spacing w:lineRule="auto" w:line="240" w:before="0" w:after="0"/>
              <w:jc w:val="center"/>
              <w:rPr>
                <w:rFonts w:ascii="Times New Roman" w:hAnsi="Times New Roman"/>
                <w:b/>
                <w:b/>
                <w:color w:val="auto"/>
                <w:sz w:val="28"/>
                <w:szCs w:val="28"/>
                <w:lang w:val="uk-UA"/>
              </w:rPr>
            </w:pPr>
            <w:r>
              <w:rPr>
                <w:rFonts w:eastAsia="Calibri" w:ascii="Times New Roman" w:hAnsi="Times New Roman" w:eastAsiaTheme="minorHAnsi"/>
                <w:b/>
                <w:color w:val="auto"/>
                <w:sz w:val="28"/>
                <w:szCs w:val="28"/>
                <w:lang w:val="uk-UA" w:eastAsia="en-US"/>
              </w:rPr>
              <w:t>1200,0</w:t>
            </w:r>
          </w:p>
        </w:tc>
      </w:tr>
    </w:tbl>
    <w:p>
      <w:pPr>
        <w:pStyle w:val="Normal"/>
        <w:rPr>
          <w:rFonts w:ascii="Times New Roman" w:hAnsi="Times New Roman" w:eastAsia="Arial Unicode MS" w:cs="Arial Unicode MS"/>
          <w:color w:val="00000A"/>
          <w:kern w:val="2"/>
          <w:sz w:val="16"/>
          <w:szCs w:val="16"/>
          <w:lang w:val="uk-UA" w:eastAsia="zh-CN" w:bidi="hi-IN"/>
        </w:rPr>
      </w:pPr>
      <w:r>
        <w:rPr>
          <w:rFonts w:eastAsia="Arial Unicode MS" w:cs="Arial Unicode MS" w:ascii="Times New Roman" w:hAnsi="Times New Roman"/>
          <w:color w:val="00000A"/>
          <w:kern w:val="2"/>
          <w:sz w:val="16"/>
          <w:szCs w:val="16"/>
          <w:lang w:val="uk-UA" w:eastAsia="zh-CN" w:bidi="hi-IN"/>
        </w:rPr>
      </w:r>
    </w:p>
    <w:p>
      <w:pPr>
        <w:sectPr>
          <w:type w:val="nextPage"/>
          <w:pgSz w:orient="landscape" w:w="16838" w:h="11906"/>
          <w:pgMar w:left="1134" w:right="1134" w:header="0" w:top="1701" w:footer="0" w:bottom="567" w:gutter="0"/>
          <w:pgNumType w:fmt="decimal"/>
          <w:formProt w:val="false"/>
          <w:textDirection w:val="lrTb"/>
          <w:docGrid w:type="default" w:linePitch="100" w:charSpace="4096"/>
        </w:sectPr>
        <w:pStyle w:val="Normal"/>
        <w:rPr>
          <w:rFonts w:ascii="Times New Roman" w:hAnsi="Times New Roman" w:cs="Times New Roman"/>
          <w:sz w:val="24"/>
          <w:szCs w:val="24"/>
          <w:lang w:val="uk-UA"/>
        </w:rPr>
      </w:pPr>
      <w:r>
        <w:rPr>
          <w:rFonts w:cs="Times New Roman" w:ascii="Times New Roman" w:hAnsi="Times New Roman"/>
          <w:sz w:val="24"/>
          <w:szCs w:val="24"/>
        </w:rPr>
        <w:t>Примітка до таблиці. ЗП – за потребою. Практична реалізація заходу потребує уточненої суми фінансування</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13b"/>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uiPriority w:val="1"/>
    <w:qFormat/>
    <w:rsid w:val="003c1884"/>
    <w:pPr>
      <w:widowControl/>
      <w:bidi w:val="0"/>
      <w:spacing w:lineRule="auto" w:line="240" w:before="0" w:after="0"/>
      <w:jc w:val="left"/>
    </w:pPr>
    <w:rPr>
      <w:rFonts w:ascii="Calibri" w:hAnsi="Calibri" w:eastAsia="Calibri" w:cs="Times New Roman"/>
      <w:color w:val="00000A"/>
      <w:kern w:val="0"/>
      <w:sz w:val="22"/>
      <w:szCs w:val="22"/>
      <w:lang w:val="ru-RU" w:eastAsia="en-US" w:bidi="ar-SA"/>
    </w:rPr>
  </w:style>
  <w:style w:type="paragraph" w:styleId="Style19">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39"/>
    <w:rsid w:val="003c1884"/>
    <w:pPr>
      <w:spacing w:after="0" w:line="240" w:lineRule="auto"/>
    </w:pPr>
    <w:rPr>
      <w:rFonts w:eastAsiaTheme="minorHAnsi"/>
      <w:lang w:eastAsia="en-US"/>
      <w:sz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LibreOffice/6.3.1.2$Windows_X86_64 LibreOffice_project/b79626edf0065ac373bd1df5c28bd630b4424273</Application>
  <Pages>5</Pages>
  <Words>514</Words>
  <Characters>3466</Characters>
  <CharactersWithSpaces>3869</CharactersWithSpaces>
  <Paragraphs>120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2022-01-12T10:35:00Z</dcterms:created>
  <dc:creator>User</dc:creator>
  <dc:description/>
  <dc:language>uk-UA</dc:language>
  <cp:lastModifiedBy/>
  <dcterms:modified xsi:type="dcterms:W3CDTF">2022-01-28T09:06:21Z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