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ind w:firstLine="10206"/>
        <w:rPr>
          <w:rFonts w:ascii="Times New Roman" w:hAnsi="Times New Roman"/>
          <w:sz w:val="28"/>
          <w:szCs w:val="28"/>
        </w:rPr>
      </w:pPr>
      <w:r>
        <w:rPr>
          <w:rFonts w:ascii="Times New Roman" w:hAnsi="Times New Roman"/>
          <w:sz w:val="28"/>
          <w:szCs w:val="28"/>
          <w:lang w:val="uk-UA"/>
        </w:rPr>
        <w:t>Додаток 2</w:t>
      </w:r>
    </w:p>
    <w:p>
      <w:pPr>
        <w:pStyle w:val="NoSpacing"/>
        <w:ind w:firstLine="10206"/>
        <w:rPr>
          <w:rFonts w:ascii="Times New Roman" w:hAnsi="Times New Roman"/>
          <w:sz w:val="28"/>
          <w:szCs w:val="28"/>
        </w:rPr>
      </w:pPr>
      <w:r>
        <w:rPr>
          <w:rFonts w:ascii="Times New Roman" w:hAnsi="Times New Roman"/>
          <w:sz w:val="28"/>
          <w:szCs w:val="28"/>
          <w:lang w:val="uk-UA"/>
        </w:rPr>
        <w:t xml:space="preserve">до рішення Решетилівської </w:t>
      </w:r>
    </w:p>
    <w:p>
      <w:pPr>
        <w:pStyle w:val="NoSpacing"/>
        <w:ind w:firstLine="10206"/>
        <w:rPr>
          <w:rFonts w:ascii="Times New Roman" w:hAnsi="Times New Roman"/>
          <w:sz w:val="28"/>
          <w:szCs w:val="28"/>
        </w:rPr>
      </w:pPr>
      <w:r>
        <w:rPr>
          <w:rFonts w:ascii="Times New Roman" w:hAnsi="Times New Roman"/>
          <w:sz w:val="28"/>
          <w:szCs w:val="28"/>
          <w:lang w:val="uk-UA"/>
        </w:rPr>
        <w:t>міської ради восьмого скликання</w:t>
      </w:r>
    </w:p>
    <w:p>
      <w:pPr>
        <w:pStyle w:val="NoSpacing"/>
        <w:ind w:firstLine="10206"/>
        <w:rPr/>
      </w:pPr>
      <w:r>
        <w:rPr>
          <w:rFonts w:ascii="Times New Roman" w:hAnsi="Times New Roman"/>
          <w:sz w:val="28"/>
          <w:szCs w:val="28"/>
          <w:lang w:val="uk-UA"/>
        </w:rPr>
        <w:t>15 лютого 2022 року №___- 19-VIIІ</w:t>
      </w:r>
    </w:p>
    <w:p>
      <w:pPr>
        <w:pStyle w:val="Normal"/>
        <w:spacing w:before="0" w:after="0"/>
        <w:ind w:firstLine="10206"/>
        <w:rPr/>
      </w:pPr>
      <w:r>
        <w:rPr>
          <w:rFonts w:cs="Times New Roman" w:ascii="Times New Roman" w:hAnsi="Times New Roman"/>
          <w:sz w:val="28"/>
          <w:szCs w:val="28"/>
          <w:lang w:val="uk-UA"/>
        </w:rPr>
        <w:t>(19 позачергова сесія)</w:t>
      </w:r>
    </w:p>
    <w:p>
      <w:pPr>
        <w:pStyle w:val="NoSpacing"/>
        <w:ind w:firstLine="10205"/>
        <w:rPr>
          <w:rFonts w:ascii="Times New Roman" w:hAnsi="Times New Roman"/>
          <w:color w:val="auto"/>
          <w:sz w:val="28"/>
          <w:szCs w:val="28"/>
          <w:lang w:val="uk-UA"/>
        </w:rPr>
      </w:pPr>
      <w:r>
        <w:rPr>
          <w:rFonts w:ascii="Times New Roman" w:hAnsi="Times New Roman"/>
          <w:color w:val="auto"/>
          <w:sz w:val="28"/>
          <w:szCs w:val="28"/>
          <w:lang w:val="uk-UA"/>
        </w:rPr>
      </w:r>
    </w:p>
    <w:p>
      <w:pPr>
        <w:pStyle w:val="NoSpacing"/>
        <w:ind w:firstLine="10205"/>
        <w:rPr/>
      </w:pPr>
      <w:r>
        <w:rPr>
          <w:rFonts w:ascii="Times New Roman" w:hAnsi="Times New Roman"/>
          <w:color w:val="auto"/>
          <w:sz w:val="28"/>
          <w:szCs w:val="28"/>
          <w:lang w:val="uk-UA"/>
        </w:rPr>
        <w:t xml:space="preserve">Додаток до Програми </w:t>
      </w:r>
    </w:p>
    <w:p>
      <w:pPr>
        <w:pStyle w:val="NoSpacing"/>
        <w:ind w:firstLine="10205"/>
        <w:rPr>
          <w:rFonts w:ascii="Times New Roman" w:hAnsi="Times New Roman"/>
          <w:color w:val="auto"/>
          <w:sz w:val="28"/>
          <w:szCs w:val="28"/>
          <w:lang w:val="uk-UA"/>
        </w:rPr>
      </w:pPr>
      <w:r>
        <w:rPr>
          <w:rFonts w:ascii="Times New Roman" w:hAnsi="Times New Roman"/>
          <w:color w:val="auto"/>
          <w:sz w:val="28"/>
          <w:szCs w:val="28"/>
          <w:lang w:val="uk-UA"/>
        </w:rPr>
      </w:r>
    </w:p>
    <w:p>
      <w:pPr>
        <w:pStyle w:val="NoSpacing"/>
        <w:ind w:firstLine="10205"/>
        <w:rPr>
          <w:rFonts w:ascii="Times New Roman" w:hAnsi="Times New Roman"/>
          <w:color w:val="auto"/>
          <w:sz w:val="28"/>
          <w:szCs w:val="28"/>
          <w:lang w:val="uk-UA"/>
        </w:rPr>
      </w:pPr>
      <w:r>
        <w:rPr>
          <w:rFonts w:ascii="Times New Roman" w:hAnsi="Times New Roman"/>
          <w:color w:val="auto"/>
          <w:sz w:val="28"/>
          <w:szCs w:val="28"/>
          <w:lang w:val="uk-UA"/>
        </w:rPr>
      </w:r>
    </w:p>
    <w:tbl>
      <w:tblPr>
        <w:tblStyle w:val="a9"/>
        <w:tblW w:w="14910" w:type="dxa"/>
        <w:jc w:val="left"/>
        <w:tblInd w:w="0" w:type="dxa"/>
        <w:tblCellMar>
          <w:top w:w="0" w:type="dxa"/>
          <w:left w:w="108" w:type="dxa"/>
          <w:bottom w:w="0" w:type="dxa"/>
          <w:right w:w="108" w:type="dxa"/>
        </w:tblCellMar>
        <w:tblLook w:val="04a0"/>
      </w:tblPr>
      <w:tblGrid>
        <w:gridCol w:w="530"/>
        <w:gridCol w:w="5802"/>
        <w:gridCol w:w="2545"/>
        <w:gridCol w:w="1275"/>
        <w:gridCol w:w="1529"/>
        <w:gridCol w:w="1635"/>
        <w:gridCol w:w="1593"/>
      </w:tblGrid>
      <w:tr>
        <w:trPr/>
        <w:tc>
          <w:tcPr>
            <w:tcW w:w="530" w:type="dxa"/>
            <w:vMerge w:val="restart"/>
            <w:tcBorders/>
            <w:shd w:fill="auto" w:val="clear"/>
            <w:vAlign w:val="center"/>
          </w:tcPr>
          <w:p>
            <w:pPr>
              <w:pStyle w:val="Normal"/>
              <w:widowControl w:val="false"/>
              <w:spacing w:lineRule="auto" w:line="240" w:before="0" w:after="0"/>
              <w:ind w:left="-113" w:right="-57" w:hanging="0"/>
              <w:jc w:val="center"/>
              <w:rPr>
                <w:rFonts w:ascii="Times New Roman" w:hAnsi="Times New Roman" w:eastAsia="Arial Unicode MS" w:cs="Times New Roman"/>
                <w:b/>
                <w:b/>
                <w:color w:val="00000A"/>
                <w:kern w:val="2"/>
                <w:sz w:val="28"/>
                <w:lang w:val="uk-UA" w:eastAsia="zh-CN" w:bidi="hi-IN"/>
              </w:rPr>
            </w:pPr>
            <w:r>
              <w:rPr>
                <w:rFonts w:eastAsia="Arial Unicode MS" w:cs="Times New Roman" w:ascii="Times New Roman" w:hAnsi="Times New Roman"/>
                <w:b/>
                <w:color w:val="00000A"/>
                <w:kern w:val="2"/>
                <w:sz w:val="28"/>
                <w:lang w:val="uk-UA" w:eastAsia="zh-CN" w:bidi="hi-IN"/>
              </w:rPr>
            </w:r>
          </w:p>
          <w:p>
            <w:pPr>
              <w:pStyle w:val="Normal"/>
              <w:widowControl w:val="false"/>
              <w:suppressAutoHyphens w:val="true"/>
              <w:spacing w:lineRule="auto" w:line="240" w:before="0" w:after="0"/>
              <w:ind w:left="-113" w:right="-57" w:hanging="0"/>
              <w:jc w:val="center"/>
              <w:rPr>
                <w:rFonts w:ascii="Times New Roman" w:hAnsi="Times New Roman" w:eastAsia="Arial Unicode MS" w:cs="Times New Roman"/>
                <w:b/>
                <w:b/>
                <w:color w:val="00000A"/>
                <w:kern w:val="2"/>
                <w:sz w:val="28"/>
                <w:lang w:val="uk-UA" w:eastAsia="zh-CN" w:bidi="hi-IN"/>
              </w:rPr>
            </w:pPr>
            <w:r>
              <w:rPr>
                <w:rFonts w:eastAsia="Calibri" w:cs="Times New Roman" w:ascii="Times New Roman" w:hAnsi="Times New Roman" w:eastAsiaTheme="minorHAnsi"/>
                <w:b/>
                <w:sz w:val="28"/>
                <w:lang w:eastAsia="en-US"/>
              </w:rPr>
              <w:t>з/п</w:t>
            </w:r>
          </w:p>
        </w:tc>
        <w:tc>
          <w:tcPr>
            <w:tcW w:w="5802" w:type="dxa"/>
            <w:vMerge w:val="restart"/>
            <w:tcBorders/>
            <w:shd w:fill="auto" w:val="clear"/>
            <w:vAlign w:val="center"/>
          </w:tcPr>
          <w:p>
            <w:pPr>
              <w:pStyle w:val="NoSpacing"/>
              <w:jc w:val="center"/>
              <w:rPr>
                <w:rFonts w:ascii="Times New Roman" w:hAnsi="Times New Roman"/>
                <w:b/>
                <w:b/>
                <w:color w:val="auto"/>
                <w:sz w:val="28"/>
                <w:szCs w:val="28"/>
                <w:lang w:val="uk-UA"/>
              </w:rPr>
            </w:pPr>
            <w:r>
              <w:rPr>
                <w:rFonts w:eastAsia="Calibri" w:ascii="Times New Roman" w:hAnsi="Times New Roman" w:eastAsiaTheme="minorHAnsi"/>
                <w:b/>
                <w:sz w:val="28"/>
                <w:lang w:val="uk-UA" w:eastAsia="zh-CN"/>
              </w:rPr>
              <w:t>Назва заходу Програми</w:t>
            </w:r>
          </w:p>
        </w:tc>
        <w:tc>
          <w:tcPr>
            <w:tcW w:w="2545" w:type="dxa"/>
            <w:vMerge w:val="restart"/>
            <w:tcBorders/>
            <w:shd w:fill="auto" w:val="clear"/>
            <w:vAlign w:val="center"/>
          </w:tcPr>
          <w:p>
            <w:pPr>
              <w:pStyle w:val="NoSpacing"/>
              <w:jc w:val="center"/>
              <w:rPr>
                <w:rFonts w:ascii="Times New Roman" w:hAnsi="Times New Roman"/>
                <w:b/>
                <w:b/>
                <w:color w:val="auto"/>
                <w:sz w:val="28"/>
                <w:szCs w:val="28"/>
                <w:lang w:val="uk-UA"/>
              </w:rPr>
            </w:pPr>
            <w:r>
              <w:rPr>
                <w:rFonts w:eastAsia="Calibri" w:ascii="Times New Roman" w:hAnsi="Times New Roman" w:eastAsiaTheme="minorHAnsi"/>
                <w:b/>
                <w:sz w:val="28"/>
                <w:lang w:val="uk-UA" w:eastAsia="zh-CN"/>
              </w:rPr>
              <w:t>Виконавці</w:t>
            </w:r>
          </w:p>
        </w:tc>
        <w:tc>
          <w:tcPr>
            <w:tcW w:w="6032" w:type="dxa"/>
            <w:gridSpan w:val="4"/>
            <w:tcBorders/>
            <w:shd w:fill="auto" w:val="clear"/>
            <w:vAlign w:val="center"/>
          </w:tcPr>
          <w:p>
            <w:pPr>
              <w:pStyle w:val="Normal"/>
              <w:widowControl w:val="false"/>
              <w:shd w:val="clear" w:color="auto" w:fill="FFFFFF"/>
              <w:spacing w:lineRule="auto" w:line="240" w:before="0" w:after="0"/>
              <w:ind w:left="-113" w:right="-57" w:hanging="0"/>
              <w:jc w:val="center"/>
              <w:rPr>
                <w:rFonts w:ascii="Times New Roman" w:hAnsi="Times New Roman" w:eastAsia="Arial Unicode MS" w:cs="Times New Roman"/>
                <w:b/>
                <w:b/>
                <w:color w:val="00000A"/>
                <w:kern w:val="2"/>
                <w:sz w:val="28"/>
                <w:lang w:val="uk-UA" w:eastAsia="zh-CN" w:bidi="hi-IN"/>
              </w:rPr>
            </w:pPr>
            <w:r>
              <w:rPr>
                <w:rFonts w:eastAsia="Calibri" w:cs="Times New Roman" w:ascii="Times New Roman" w:hAnsi="Times New Roman" w:eastAsiaTheme="minorHAnsi"/>
                <w:b/>
                <w:sz w:val="28"/>
                <w:lang w:eastAsia="en-US"/>
              </w:rPr>
              <w:t>Орієнтовний</w:t>
            </w:r>
          </w:p>
          <w:p>
            <w:pPr>
              <w:pStyle w:val="Normal"/>
              <w:widowControl w:val="false"/>
              <w:shd w:val="clear" w:color="auto" w:fill="FFFFFF"/>
              <w:suppressAutoHyphens w:val="true"/>
              <w:spacing w:lineRule="auto" w:line="240" w:before="0" w:after="0"/>
              <w:ind w:left="-113" w:right="-57" w:hanging="0"/>
              <w:jc w:val="center"/>
              <w:rPr>
                <w:rFonts w:ascii="Times New Roman" w:hAnsi="Times New Roman" w:eastAsia="Arial Unicode MS" w:cs="Times New Roman"/>
                <w:b/>
                <w:b/>
                <w:color w:val="00000A"/>
                <w:kern w:val="2"/>
                <w:sz w:val="28"/>
                <w:lang w:val="uk-UA" w:eastAsia="zh-CN" w:bidi="hi-IN"/>
              </w:rPr>
            </w:pPr>
            <w:r>
              <w:rPr>
                <w:rFonts w:eastAsia="Calibri" w:cs="Times New Roman" w:ascii="Times New Roman" w:hAnsi="Times New Roman" w:eastAsiaTheme="minorHAnsi"/>
                <w:b/>
                <w:sz w:val="28"/>
                <w:lang w:eastAsia="en-US"/>
              </w:rPr>
              <w:t>обсяг фінансування по роках, тис.грн.</w:t>
            </w:r>
          </w:p>
        </w:tc>
      </w:tr>
      <w:tr>
        <w:trPr/>
        <w:tc>
          <w:tcPr>
            <w:tcW w:w="530" w:type="dxa"/>
            <w:vMerge w:val="continue"/>
            <w:tcBorders/>
            <w:shd w:fill="auto" w:val="clear"/>
            <w:vAlign w:val="center"/>
          </w:tcPr>
          <w:p>
            <w:pPr>
              <w:pStyle w:val="Normal"/>
              <w:spacing w:lineRule="auto" w:line="240" w:before="0" w:after="0"/>
              <w:rPr>
                <w:rFonts w:ascii="Times New Roman" w:hAnsi="Times New Roman" w:eastAsia="Calibri" w:cs="Times New Roman" w:eastAsiaTheme="minorHAnsi"/>
                <w:b/>
                <w:b/>
                <w:color w:val="00000A"/>
                <w:kern w:val="2"/>
                <w:sz w:val="28"/>
                <w:lang w:val="uk-UA" w:eastAsia="en-US" w:bidi="hi-IN"/>
              </w:rPr>
            </w:pPr>
            <w:r>
              <w:rPr>
                <w:rFonts w:eastAsia="Calibri" w:cs="Times New Roman" w:eastAsiaTheme="minorHAnsi" w:ascii="Times New Roman" w:hAnsi="Times New Roman"/>
                <w:b/>
                <w:color w:val="00000A"/>
                <w:kern w:val="2"/>
                <w:sz w:val="28"/>
                <w:lang w:val="uk-UA" w:eastAsia="en-US" w:bidi="hi-IN"/>
              </w:rPr>
            </w:r>
          </w:p>
        </w:tc>
        <w:tc>
          <w:tcPr>
            <w:tcW w:w="5802" w:type="dxa"/>
            <w:vMerge w:val="continue"/>
            <w:tcBorders/>
            <w:shd w:fill="auto" w:val="clear"/>
            <w:vAlign w:val="center"/>
          </w:tcPr>
          <w:p>
            <w:pPr>
              <w:pStyle w:val="Normal"/>
              <w:spacing w:lineRule="auto" w:line="240" w:before="0" w:after="0"/>
              <w:rPr>
                <w:rFonts w:ascii="Times New Roman" w:hAnsi="Times New Roman" w:eastAsia="Calibri" w:cs="Times New Roman" w:eastAsiaTheme="minorHAnsi"/>
                <w:b/>
                <w:b/>
                <w:sz w:val="28"/>
                <w:szCs w:val="28"/>
                <w:lang w:val="uk-UA" w:eastAsia="en-US"/>
              </w:rPr>
            </w:pPr>
            <w:r>
              <w:rPr>
                <w:rFonts w:eastAsia="Calibri" w:cs="Times New Roman" w:eastAsiaTheme="minorHAnsi" w:ascii="Times New Roman" w:hAnsi="Times New Roman"/>
                <w:b/>
                <w:sz w:val="28"/>
                <w:szCs w:val="28"/>
                <w:lang w:val="uk-UA" w:eastAsia="en-US"/>
              </w:rPr>
            </w:r>
          </w:p>
        </w:tc>
        <w:tc>
          <w:tcPr>
            <w:tcW w:w="2545" w:type="dxa"/>
            <w:vMerge w:val="continue"/>
            <w:tcBorders/>
            <w:shd w:fill="auto" w:val="clear"/>
            <w:vAlign w:val="center"/>
          </w:tcPr>
          <w:p>
            <w:pPr>
              <w:pStyle w:val="Normal"/>
              <w:spacing w:lineRule="auto" w:line="240" w:before="0" w:after="0"/>
              <w:rPr>
                <w:rFonts w:ascii="Times New Roman" w:hAnsi="Times New Roman" w:eastAsia="Calibri" w:cs="Times New Roman" w:eastAsiaTheme="minorHAnsi"/>
                <w:b/>
                <w:b/>
                <w:sz w:val="28"/>
                <w:szCs w:val="28"/>
                <w:lang w:val="uk-UA" w:eastAsia="en-US"/>
              </w:rPr>
            </w:pPr>
            <w:r>
              <w:rPr>
                <w:rFonts w:eastAsia="Calibri" w:cs="Times New Roman" w:eastAsiaTheme="minorHAnsi" w:ascii="Times New Roman" w:hAnsi="Times New Roman"/>
                <w:b/>
                <w:sz w:val="28"/>
                <w:szCs w:val="28"/>
                <w:lang w:val="uk-UA" w:eastAsia="en-US"/>
              </w:rPr>
            </w:r>
          </w:p>
        </w:tc>
        <w:tc>
          <w:tcPr>
            <w:tcW w:w="1275" w:type="dxa"/>
            <w:tcBorders/>
            <w:shd w:fill="auto" w:val="clear"/>
          </w:tcPr>
          <w:p>
            <w:pPr>
              <w:pStyle w:val="NoSpacing"/>
              <w:jc w:val="center"/>
              <w:rPr>
                <w:rFonts w:ascii="Times New Roman" w:hAnsi="Times New Roman"/>
                <w:b/>
                <w:b/>
                <w:color w:val="auto"/>
                <w:sz w:val="28"/>
                <w:szCs w:val="28"/>
                <w:lang w:val="uk-UA"/>
              </w:rPr>
            </w:pPr>
            <w:r>
              <w:rPr>
                <w:rFonts w:eastAsia="Calibri" w:ascii="Times New Roman" w:hAnsi="Times New Roman" w:eastAsiaTheme="minorHAnsi"/>
                <w:b/>
                <w:color w:val="auto"/>
                <w:sz w:val="28"/>
                <w:szCs w:val="28"/>
                <w:lang w:val="uk-UA" w:eastAsia="en-US"/>
              </w:rPr>
              <w:t>2021</w:t>
            </w:r>
          </w:p>
        </w:tc>
        <w:tc>
          <w:tcPr>
            <w:tcW w:w="1529" w:type="dxa"/>
            <w:tcBorders/>
            <w:shd w:fill="auto" w:val="clear"/>
          </w:tcPr>
          <w:p>
            <w:pPr>
              <w:pStyle w:val="NoSpacing"/>
              <w:jc w:val="center"/>
              <w:rPr>
                <w:rFonts w:ascii="Times New Roman" w:hAnsi="Times New Roman"/>
                <w:b/>
                <w:b/>
                <w:color w:val="auto"/>
                <w:sz w:val="28"/>
                <w:szCs w:val="28"/>
                <w:lang w:val="uk-UA"/>
              </w:rPr>
            </w:pPr>
            <w:r>
              <w:rPr>
                <w:rFonts w:eastAsia="Calibri" w:ascii="Times New Roman" w:hAnsi="Times New Roman" w:eastAsiaTheme="minorHAnsi"/>
                <w:b/>
                <w:color w:val="auto"/>
                <w:sz w:val="28"/>
                <w:szCs w:val="28"/>
                <w:lang w:val="uk-UA" w:eastAsia="en-US"/>
              </w:rPr>
              <w:t>2022</w:t>
            </w:r>
          </w:p>
        </w:tc>
        <w:tc>
          <w:tcPr>
            <w:tcW w:w="1635" w:type="dxa"/>
            <w:tcBorders/>
            <w:shd w:fill="auto" w:val="clear"/>
          </w:tcPr>
          <w:p>
            <w:pPr>
              <w:pStyle w:val="NoSpacing"/>
              <w:jc w:val="center"/>
              <w:rPr>
                <w:rFonts w:ascii="Times New Roman" w:hAnsi="Times New Roman"/>
                <w:b/>
                <w:b/>
                <w:color w:val="auto"/>
                <w:sz w:val="28"/>
                <w:szCs w:val="28"/>
                <w:lang w:val="uk-UA"/>
              </w:rPr>
            </w:pPr>
            <w:r>
              <w:rPr>
                <w:rFonts w:eastAsia="Calibri" w:ascii="Times New Roman" w:hAnsi="Times New Roman" w:eastAsiaTheme="minorHAnsi"/>
                <w:b/>
                <w:color w:val="auto"/>
                <w:sz w:val="28"/>
                <w:szCs w:val="28"/>
                <w:lang w:val="uk-UA" w:eastAsia="en-US"/>
              </w:rPr>
              <w:t>2023</w:t>
            </w:r>
            <w:bookmarkStart w:id="0" w:name="_GoBack"/>
            <w:bookmarkEnd w:id="0"/>
          </w:p>
        </w:tc>
        <w:tc>
          <w:tcPr>
            <w:tcW w:w="1593" w:type="dxa"/>
            <w:tcBorders/>
            <w:shd w:fill="auto" w:val="clear"/>
          </w:tcPr>
          <w:p>
            <w:pPr>
              <w:pStyle w:val="NoSpacing"/>
              <w:jc w:val="center"/>
              <w:rPr>
                <w:rFonts w:ascii="Times New Roman" w:hAnsi="Times New Roman"/>
                <w:b/>
                <w:b/>
                <w:color w:val="auto"/>
                <w:sz w:val="28"/>
                <w:szCs w:val="28"/>
                <w:lang w:val="uk-UA"/>
              </w:rPr>
            </w:pPr>
            <w:r>
              <w:rPr>
                <w:rFonts w:eastAsia="Calibri" w:ascii="Times New Roman" w:hAnsi="Times New Roman" w:eastAsiaTheme="minorHAnsi"/>
                <w:b/>
                <w:color w:val="auto"/>
                <w:sz w:val="28"/>
                <w:szCs w:val="28"/>
                <w:lang w:val="uk-UA" w:eastAsia="en-US"/>
              </w:rPr>
              <w:t>РАЗОМ</w:t>
            </w:r>
          </w:p>
        </w:tc>
      </w:tr>
      <w:tr>
        <w:trPr/>
        <w:tc>
          <w:tcPr>
            <w:tcW w:w="530" w:type="dxa"/>
            <w:tcBorders/>
            <w:shd w:fill="auto" w:val="clear"/>
          </w:tcPr>
          <w:p>
            <w:pPr>
              <w:pStyle w:val="NoSpacing"/>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1</w:t>
            </w:r>
          </w:p>
        </w:tc>
        <w:tc>
          <w:tcPr>
            <w:tcW w:w="5802" w:type="dxa"/>
            <w:tcBorders/>
            <w:shd w:fill="auto" w:val="clear"/>
          </w:tcPr>
          <w:p>
            <w:pPr>
              <w:pStyle w:val="NoSpacing"/>
              <w:jc w:val="both"/>
              <w:rPr>
                <w:rFonts w:ascii="Times New Roman" w:hAnsi="Times New Roman"/>
                <w:color w:val="auto"/>
                <w:sz w:val="28"/>
                <w:szCs w:val="28"/>
                <w:lang w:val="uk-UA"/>
              </w:rPr>
            </w:pPr>
            <w:r>
              <w:rPr>
                <w:rFonts w:eastAsia="Calibri" w:ascii="Times New Roman" w:hAnsi="Times New Roman" w:eastAsiaTheme="minorHAnsi"/>
                <w:sz w:val="28"/>
                <w:szCs w:val="28"/>
                <w:lang w:val="uk-UA" w:eastAsia="en-US"/>
              </w:rPr>
              <w:t>Залучення співробітників УСБУ в Полтавській області та Сектору поліцейської діяльності № 1 відділу поліції № 2 Полтавського районного управління поліції ГУНП в Полтавській області для ведення профілактично-роз’яснювальної роботи серед працівників та посадових осіб органів місцевого самоврядування з метою запобігання корупційним проявам</w:t>
            </w:r>
            <w:r>
              <w:rPr>
                <w:rFonts w:eastAsia="Calibri" w:ascii="Times New Roman" w:hAnsi="Times New Roman" w:eastAsiaTheme="minorHAnsi"/>
                <w:i/>
                <w:sz w:val="28"/>
                <w:szCs w:val="28"/>
                <w:lang w:val="uk-UA" w:eastAsia="en-US"/>
              </w:rPr>
              <w:t>(щоквартально)</w:t>
            </w:r>
          </w:p>
        </w:tc>
        <w:tc>
          <w:tcPr>
            <w:tcW w:w="2545" w:type="dxa"/>
            <w:tcBorders/>
            <w:shd w:fill="auto" w:val="clear"/>
          </w:tcPr>
          <w:p>
            <w:pPr>
              <w:pStyle w:val="NoSpacing"/>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 xml:space="preserve">Виконавчий комітет, УСБУ, </w:t>
            </w:r>
            <w:r>
              <w:rPr>
                <w:rFonts w:eastAsia="Calibri" w:ascii="Times New Roman" w:hAnsi="Times New Roman" w:eastAsiaTheme="minorHAnsi"/>
                <w:sz w:val="28"/>
                <w:szCs w:val="28"/>
                <w:lang w:val="uk-UA" w:eastAsia="en-US"/>
              </w:rPr>
              <w:t>СПД № 1 ВП №2 Полтавського РУП</w:t>
            </w:r>
          </w:p>
        </w:tc>
        <w:tc>
          <w:tcPr>
            <w:tcW w:w="1275"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0,0</w:t>
            </w:r>
          </w:p>
        </w:tc>
        <w:tc>
          <w:tcPr>
            <w:tcW w:w="1529"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0,0</w:t>
            </w:r>
          </w:p>
        </w:tc>
        <w:tc>
          <w:tcPr>
            <w:tcW w:w="1635"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0,0</w:t>
            </w:r>
          </w:p>
        </w:tc>
        <w:tc>
          <w:tcPr>
            <w:tcW w:w="1593"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0,0</w:t>
            </w:r>
          </w:p>
        </w:tc>
      </w:tr>
      <w:tr>
        <w:trPr/>
        <w:tc>
          <w:tcPr>
            <w:tcW w:w="530" w:type="dxa"/>
            <w:tcBorders/>
            <w:shd w:fill="auto" w:val="clear"/>
          </w:tcPr>
          <w:p>
            <w:pPr>
              <w:pStyle w:val="NoSpacing"/>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2</w:t>
            </w:r>
          </w:p>
        </w:tc>
        <w:tc>
          <w:tcPr>
            <w:tcW w:w="5802" w:type="dxa"/>
            <w:tcBorders/>
            <w:shd w:fill="auto" w:val="clear"/>
          </w:tcPr>
          <w:p>
            <w:pPr>
              <w:pStyle w:val="NoSpacing"/>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Надання інформації та доступу до матеріалів роботи колегіальних органів, посадових осіб та працівників виконавчого комітету</w:t>
            </w:r>
          </w:p>
        </w:tc>
        <w:tc>
          <w:tcPr>
            <w:tcW w:w="2545" w:type="dxa"/>
            <w:tcBorders/>
            <w:shd w:fill="auto" w:val="clear"/>
          </w:tcPr>
          <w:p>
            <w:pPr>
              <w:pStyle w:val="NoSpacing"/>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Виконавчий комітет</w:t>
            </w:r>
          </w:p>
        </w:tc>
        <w:tc>
          <w:tcPr>
            <w:tcW w:w="1275"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0,0</w:t>
            </w:r>
          </w:p>
        </w:tc>
        <w:tc>
          <w:tcPr>
            <w:tcW w:w="1529"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0,0</w:t>
            </w:r>
          </w:p>
        </w:tc>
        <w:tc>
          <w:tcPr>
            <w:tcW w:w="1635"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0,0</w:t>
            </w:r>
          </w:p>
        </w:tc>
        <w:tc>
          <w:tcPr>
            <w:tcW w:w="1593"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0,0</w:t>
            </w:r>
          </w:p>
        </w:tc>
      </w:tr>
      <w:tr>
        <w:trPr/>
        <w:tc>
          <w:tcPr>
            <w:tcW w:w="530" w:type="dxa"/>
            <w:tcBorders/>
            <w:shd w:fill="auto" w:val="clear"/>
          </w:tcPr>
          <w:p>
            <w:pPr>
              <w:pStyle w:val="NoSpacing"/>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3</w:t>
            </w:r>
          </w:p>
        </w:tc>
        <w:tc>
          <w:tcPr>
            <w:tcW w:w="5802" w:type="dxa"/>
            <w:tcBorders/>
            <w:shd w:fill="auto" w:val="clear"/>
          </w:tcPr>
          <w:p>
            <w:pPr>
              <w:pStyle w:val="NoSpacing"/>
              <w:jc w:val="both"/>
              <w:rPr>
                <w:rFonts w:ascii="Times New Roman" w:hAnsi="Times New Roman"/>
                <w:sz w:val="28"/>
                <w:szCs w:val="28"/>
                <w:lang w:val="uk-UA"/>
              </w:rPr>
            </w:pPr>
            <w:r>
              <w:rPr>
                <w:rFonts w:eastAsia="Calibri" w:ascii="Times New Roman" w:hAnsi="Times New Roman" w:eastAsiaTheme="minorHAnsi"/>
                <w:sz w:val="28"/>
                <w:szCs w:val="28"/>
                <w:lang w:val="uk-UA" w:eastAsia="en-US"/>
              </w:rPr>
              <w:t xml:space="preserve">Надання організаційної та інформаційної підтримки стосовно удосконалення та актуалізації планів запобігання терористичним проявам на потенційно небезпечних об’єктах громади </w:t>
            </w:r>
            <w:r>
              <w:rPr>
                <w:rFonts w:eastAsia="Calibri" w:ascii="Times New Roman" w:hAnsi="Times New Roman" w:eastAsiaTheme="minorHAnsi"/>
                <w:i/>
                <w:sz w:val="28"/>
                <w:szCs w:val="28"/>
                <w:lang w:val="uk-UA" w:eastAsia="en-US"/>
              </w:rPr>
              <w:t>(щопівроку, або у разі зміни нормативно-правової бази)</w:t>
            </w:r>
          </w:p>
        </w:tc>
        <w:tc>
          <w:tcPr>
            <w:tcW w:w="2545" w:type="dxa"/>
            <w:tcBorders/>
            <w:shd w:fill="auto" w:val="clear"/>
          </w:tcPr>
          <w:p>
            <w:pPr>
              <w:pStyle w:val="NoSpacing"/>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УСБУ</w:t>
            </w:r>
          </w:p>
        </w:tc>
        <w:tc>
          <w:tcPr>
            <w:tcW w:w="1275"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529"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635"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593"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r>
      <w:tr>
        <w:trPr/>
        <w:tc>
          <w:tcPr>
            <w:tcW w:w="530" w:type="dxa"/>
            <w:tcBorders/>
            <w:shd w:fill="auto" w:val="clear"/>
          </w:tcPr>
          <w:p>
            <w:pPr>
              <w:pStyle w:val="NoSpacing"/>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4</w:t>
            </w:r>
          </w:p>
        </w:tc>
        <w:tc>
          <w:tcPr>
            <w:tcW w:w="5802" w:type="dxa"/>
            <w:tcBorders/>
            <w:shd w:fill="auto" w:val="clear"/>
          </w:tcPr>
          <w:p>
            <w:pPr>
              <w:pStyle w:val="NoSpacing"/>
              <w:jc w:val="both"/>
              <w:rPr>
                <w:rFonts w:ascii="Times New Roman" w:hAnsi="Times New Roman"/>
                <w:sz w:val="28"/>
                <w:szCs w:val="28"/>
                <w:lang w:val="uk-UA"/>
              </w:rPr>
            </w:pPr>
            <w:r>
              <w:rPr>
                <w:rFonts w:eastAsia="Calibri" w:ascii="Times New Roman" w:hAnsi="Times New Roman" w:eastAsiaTheme="minorHAnsi"/>
                <w:sz w:val="28"/>
                <w:szCs w:val="28"/>
                <w:lang w:val="uk-UA" w:eastAsia="en-US"/>
              </w:rPr>
              <w:t>Проведення із залученням співробітників УСБУ в Полтавській області профілактично-роз'яснювальної роботи серед мешканців громади з метою недопущення поширення впливу екстремістських та терористичних течій, здійснювати своєчасне виявлення фактів можливої діяльності на території громади представників радикалізованих угрупувань, які не виключають екстремістських форм ведення діяльності, вчинення антигромадських та антиконституційних дій, спрямованих на завдання шкоди державним інтересам та інтересам громади, на порушення прав і свобод мешканців громади</w:t>
            </w:r>
          </w:p>
        </w:tc>
        <w:tc>
          <w:tcPr>
            <w:tcW w:w="2545" w:type="dxa"/>
            <w:tcBorders/>
            <w:shd w:fill="auto" w:val="clear"/>
          </w:tcPr>
          <w:p>
            <w:pPr>
              <w:pStyle w:val="NoSpacing"/>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Виконавчий комітет, УСБУ,</w:t>
            </w:r>
          </w:p>
          <w:p>
            <w:pPr>
              <w:pStyle w:val="NoSpacing"/>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громадськість</w:t>
            </w:r>
          </w:p>
        </w:tc>
        <w:tc>
          <w:tcPr>
            <w:tcW w:w="1275"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0,0</w:t>
            </w:r>
          </w:p>
        </w:tc>
        <w:tc>
          <w:tcPr>
            <w:tcW w:w="1529"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0,0</w:t>
            </w:r>
          </w:p>
        </w:tc>
        <w:tc>
          <w:tcPr>
            <w:tcW w:w="1635"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0,0</w:t>
            </w:r>
          </w:p>
        </w:tc>
        <w:tc>
          <w:tcPr>
            <w:tcW w:w="1593"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0,0</w:t>
            </w:r>
          </w:p>
        </w:tc>
      </w:tr>
      <w:tr>
        <w:trPr/>
        <w:tc>
          <w:tcPr>
            <w:tcW w:w="530" w:type="dxa"/>
            <w:tcBorders/>
            <w:shd w:fill="auto" w:val="clear"/>
          </w:tcPr>
          <w:p>
            <w:pPr>
              <w:pStyle w:val="NoSpacing"/>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5</w:t>
            </w:r>
          </w:p>
        </w:tc>
        <w:tc>
          <w:tcPr>
            <w:tcW w:w="5802" w:type="dxa"/>
            <w:tcBorders/>
            <w:shd w:fill="auto" w:val="clear"/>
          </w:tcPr>
          <w:p>
            <w:pPr>
              <w:pStyle w:val="NoSpacing"/>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Створення центру безпеки в громаді (місцеві шерифи)</w:t>
            </w:r>
          </w:p>
        </w:tc>
        <w:tc>
          <w:tcPr>
            <w:tcW w:w="2545" w:type="dxa"/>
            <w:tcBorders/>
            <w:shd w:fill="auto" w:val="clear"/>
          </w:tcPr>
          <w:p>
            <w:pPr>
              <w:pStyle w:val="NoSpacing"/>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Виконавчий комітет</w:t>
            </w:r>
          </w:p>
        </w:tc>
        <w:tc>
          <w:tcPr>
            <w:tcW w:w="1275"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529"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635"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593"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r>
      <w:tr>
        <w:trPr/>
        <w:tc>
          <w:tcPr>
            <w:tcW w:w="530" w:type="dxa"/>
            <w:tcBorders/>
            <w:shd w:fill="auto" w:val="clear"/>
          </w:tcPr>
          <w:p>
            <w:pPr>
              <w:pStyle w:val="NoSpacing"/>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6</w:t>
            </w:r>
          </w:p>
        </w:tc>
        <w:tc>
          <w:tcPr>
            <w:tcW w:w="5802" w:type="dxa"/>
            <w:tcBorders/>
            <w:shd w:fill="auto" w:val="clear"/>
          </w:tcPr>
          <w:p>
            <w:pPr>
              <w:pStyle w:val="NoSpacing"/>
              <w:jc w:val="both"/>
              <w:rPr>
                <w:rFonts w:ascii="Times New Roman" w:hAnsi="Times New Roman"/>
                <w:color w:val="auto"/>
                <w:sz w:val="28"/>
                <w:szCs w:val="28"/>
                <w:lang w:val="uk-UA"/>
              </w:rPr>
            </w:pPr>
            <w:r>
              <w:rPr>
                <w:rFonts w:eastAsia="Calibri" w:ascii="Times New Roman" w:hAnsi="Times New Roman" w:eastAsiaTheme="minorHAnsi"/>
                <w:sz w:val="28"/>
                <w:szCs w:val="28"/>
                <w:lang w:val="uk-UA" w:eastAsia="en-US"/>
              </w:rPr>
              <w:t>Вжиття спільних заходів із запобігання зрощування кримінальних структур з владними органами, розвитку організованої злочинності, недопущення втягнення у злочинну діяльність нових соціальних груп, особливо неповнолітніх</w:t>
            </w:r>
          </w:p>
        </w:tc>
        <w:tc>
          <w:tcPr>
            <w:tcW w:w="2545" w:type="dxa"/>
            <w:tcBorders/>
            <w:shd w:fill="auto" w:val="clear"/>
          </w:tcPr>
          <w:p>
            <w:pPr>
              <w:pStyle w:val="NoSpacing"/>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 xml:space="preserve">Виконавчий комітет, УСБУ, </w:t>
            </w:r>
            <w:r>
              <w:rPr>
                <w:rFonts w:eastAsia="Calibri" w:ascii="Times New Roman" w:hAnsi="Times New Roman" w:eastAsiaTheme="minorHAnsi"/>
                <w:sz w:val="28"/>
                <w:szCs w:val="28"/>
                <w:lang w:val="uk-UA" w:eastAsia="en-US"/>
              </w:rPr>
              <w:t>СПД № 1 ВП №2 Полтавського РУП</w:t>
            </w:r>
            <w:r>
              <w:rPr>
                <w:rFonts w:eastAsia="Calibri" w:ascii="Times New Roman" w:hAnsi="Times New Roman" w:eastAsiaTheme="minorHAnsi"/>
                <w:color w:val="auto"/>
                <w:sz w:val="28"/>
                <w:szCs w:val="28"/>
                <w:lang w:val="uk-UA" w:eastAsia="en-US"/>
              </w:rPr>
              <w:t>,</w:t>
            </w:r>
          </w:p>
          <w:p>
            <w:pPr>
              <w:pStyle w:val="NoSpacing"/>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громадськість</w:t>
            </w:r>
          </w:p>
        </w:tc>
        <w:tc>
          <w:tcPr>
            <w:tcW w:w="1275"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529"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635"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593"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r>
      <w:tr>
        <w:trPr/>
        <w:tc>
          <w:tcPr>
            <w:tcW w:w="530" w:type="dxa"/>
            <w:tcBorders/>
            <w:shd w:fill="auto" w:val="clear"/>
          </w:tcPr>
          <w:p>
            <w:pPr>
              <w:pStyle w:val="NoSpacing"/>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7</w:t>
            </w:r>
          </w:p>
        </w:tc>
        <w:tc>
          <w:tcPr>
            <w:tcW w:w="5802" w:type="dxa"/>
            <w:tcBorders/>
            <w:shd w:fill="auto" w:val="clear"/>
          </w:tcPr>
          <w:p>
            <w:pPr>
              <w:pStyle w:val="NoSpacing"/>
              <w:jc w:val="both"/>
              <w:rPr>
                <w:rFonts w:ascii="Times New Roman" w:hAnsi="Times New Roman"/>
                <w:color w:val="auto"/>
                <w:sz w:val="28"/>
                <w:szCs w:val="28"/>
                <w:lang w:val="uk-UA"/>
              </w:rPr>
            </w:pPr>
            <w:r>
              <w:rPr>
                <w:rFonts w:eastAsia="Calibri" w:ascii="Times New Roman" w:hAnsi="Times New Roman" w:eastAsiaTheme="minorHAnsi"/>
                <w:sz w:val="28"/>
                <w:szCs w:val="28"/>
                <w:lang w:val="uk-UA" w:eastAsia="en-US"/>
              </w:rPr>
              <w:t>Проведення цільових оперативно-розшукових та профілактичних заходів, рейдів та цільових операцій за участю органів місцевого самоврядування та громадськості</w:t>
            </w:r>
          </w:p>
        </w:tc>
        <w:tc>
          <w:tcPr>
            <w:tcW w:w="2545" w:type="dxa"/>
            <w:tcBorders/>
            <w:shd w:fill="auto" w:val="clear"/>
          </w:tcPr>
          <w:p>
            <w:pPr>
              <w:pStyle w:val="NoSpacing"/>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 xml:space="preserve">Виконавчий комітет, УСБУ, </w:t>
            </w:r>
            <w:r>
              <w:rPr>
                <w:rFonts w:eastAsia="Calibri" w:ascii="Times New Roman" w:hAnsi="Times New Roman" w:eastAsiaTheme="minorHAnsi"/>
                <w:sz w:val="28"/>
                <w:szCs w:val="28"/>
                <w:lang w:val="uk-UA" w:eastAsia="en-US"/>
              </w:rPr>
              <w:t>СПД № 1 ВП №2 Полтавського РУП</w:t>
            </w:r>
            <w:r>
              <w:rPr>
                <w:rFonts w:eastAsia="Calibri" w:ascii="Times New Roman" w:hAnsi="Times New Roman" w:eastAsiaTheme="minorHAnsi"/>
                <w:color w:val="auto"/>
                <w:sz w:val="28"/>
                <w:szCs w:val="28"/>
                <w:lang w:val="uk-UA" w:eastAsia="en-US"/>
              </w:rPr>
              <w:t>,</w:t>
            </w:r>
          </w:p>
          <w:p>
            <w:pPr>
              <w:pStyle w:val="NoSpacing"/>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громадськість</w:t>
            </w:r>
          </w:p>
        </w:tc>
        <w:tc>
          <w:tcPr>
            <w:tcW w:w="1275"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529"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635"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593"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r>
      <w:tr>
        <w:trPr/>
        <w:tc>
          <w:tcPr>
            <w:tcW w:w="530" w:type="dxa"/>
            <w:tcBorders/>
            <w:shd w:fill="auto" w:val="clear"/>
          </w:tcPr>
          <w:p>
            <w:pPr>
              <w:pStyle w:val="NoSpacing"/>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8</w:t>
            </w:r>
          </w:p>
        </w:tc>
        <w:tc>
          <w:tcPr>
            <w:tcW w:w="5802" w:type="dxa"/>
            <w:tcBorders/>
            <w:shd w:fill="auto" w:val="clear"/>
          </w:tcPr>
          <w:p>
            <w:pPr>
              <w:pStyle w:val="NoSpacing"/>
              <w:jc w:val="both"/>
              <w:rPr>
                <w:rFonts w:ascii="Times New Roman" w:hAnsi="Times New Roman"/>
                <w:sz w:val="28"/>
                <w:szCs w:val="28"/>
                <w:lang w:val="uk-UA"/>
              </w:rPr>
            </w:pPr>
            <w:r>
              <w:rPr>
                <w:rFonts w:eastAsia="Calibri" w:ascii="Times New Roman" w:hAnsi="Times New Roman" w:eastAsiaTheme="minorHAnsi"/>
                <w:sz w:val="28"/>
                <w:szCs w:val="28"/>
                <w:lang w:val="uk-UA" w:eastAsia="en-US"/>
              </w:rPr>
              <w:t>Забезпечення публічної безпеки і порядку під час проведення загальнополітичних, культурно-мистецьких, спортивних, релігійних та інших заходів</w:t>
            </w:r>
          </w:p>
        </w:tc>
        <w:tc>
          <w:tcPr>
            <w:tcW w:w="2545" w:type="dxa"/>
            <w:tcBorders/>
            <w:shd w:fill="auto" w:val="clear"/>
          </w:tcPr>
          <w:p>
            <w:pPr>
              <w:pStyle w:val="NoSpacing"/>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 xml:space="preserve">УСБУ, </w:t>
            </w:r>
          </w:p>
          <w:p>
            <w:pPr>
              <w:pStyle w:val="NoSpacing"/>
              <w:jc w:val="both"/>
              <w:rPr>
                <w:rFonts w:ascii="Times New Roman" w:hAnsi="Times New Roman"/>
                <w:color w:val="auto"/>
                <w:sz w:val="28"/>
                <w:szCs w:val="28"/>
                <w:lang w:val="uk-UA"/>
              </w:rPr>
            </w:pPr>
            <w:r>
              <w:rPr>
                <w:rFonts w:eastAsia="Calibri" w:ascii="Times New Roman" w:hAnsi="Times New Roman" w:eastAsiaTheme="minorHAnsi"/>
                <w:sz w:val="28"/>
                <w:szCs w:val="28"/>
                <w:lang w:val="uk-UA" w:eastAsia="en-US"/>
              </w:rPr>
              <w:t>СПД № 1 ВП №2 Полтавського РУП</w:t>
            </w:r>
          </w:p>
        </w:tc>
        <w:tc>
          <w:tcPr>
            <w:tcW w:w="1275"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529"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635"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593"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r>
      <w:tr>
        <w:trPr/>
        <w:tc>
          <w:tcPr>
            <w:tcW w:w="530" w:type="dxa"/>
            <w:tcBorders/>
            <w:shd w:fill="auto" w:val="clear"/>
          </w:tcPr>
          <w:p>
            <w:pPr>
              <w:pStyle w:val="NoSpacing"/>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9</w:t>
            </w:r>
          </w:p>
        </w:tc>
        <w:tc>
          <w:tcPr>
            <w:tcW w:w="5802" w:type="dxa"/>
            <w:tcBorders/>
            <w:shd w:fill="auto" w:val="clear"/>
          </w:tcPr>
          <w:p>
            <w:pPr>
              <w:pStyle w:val="NoSpacing"/>
              <w:jc w:val="both"/>
              <w:rPr>
                <w:rFonts w:ascii="Times New Roman" w:hAnsi="Times New Roman"/>
                <w:sz w:val="28"/>
                <w:szCs w:val="28"/>
                <w:lang w:val="uk-UA"/>
              </w:rPr>
            </w:pPr>
            <w:r>
              <w:rPr>
                <w:rFonts w:eastAsia="Calibri" w:ascii="Times New Roman" w:hAnsi="Times New Roman" w:eastAsiaTheme="minorHAnsi"/>
                <w:sz w:val="28"/>
                <w:szCs w:val="28"/>
                <w:lang w:val="uk-UA" w:eastAsia="en-US"/>
              </w:rPr>
              <w:t xml:space="preserve">Покращення матеріально-технічного забезпечення Управління СБУ в Полтавській області </w:t>
            </w:r>
          </w:p>
          <w:p>
            <w:pPr>
              <w:pStyle w:val="NoSpacing"/>
              <w:jc w:val="both"/>
              <w:rPr>
                <w:rFonts w:ascii="Times New Roman" w:hAnsi="Times New Roman"/>
                <w:sz w:val="28"/>
                <w:szCs w:val="28"/>
                <w:lang w:val="uk-UA"/>
              </w:rPr>
            </w:pPr>
            <w:r>
              <w:rPr>
                <w:rFonts w:eastAsia="Calibri" w:ascii="Times New Roman" w:hAnsi="Times New Roman" w:eastAsiaTheme="minorHAnsi"/>
                <w:i/>
                <w:sz w:val="28"/>
                <w:szCs w:val="28"/>
                <w:lang w:val="uk-UA" w:eastAsia="en-US"/>
              </w:rPr>
              <w:t>(надання субвенції з місцевого бюджету для придбання електронно-обчислювальної техніки; техніки та обладнання спеціального призначення; паливно-мастильних матеріалів)</w:t>
            </w:r>
          </w:p>
        </w:tc>
        <w:tc>
          <w:tcPr>
            <w:tcW w:w="2545" w:type="dxa"/>
            <w:tcBorders/>
            <w:shd w:fill="auto" w:val="clear"/>
          </w:tcPr>
          <w:p>
            <w:pPr>
              <w:pStyle w:val="NoSpacing"/>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Виконавчий комітет, УСБУ</w:t>
            </w:r>
          </w:p>
        </w:tc>
        <w:tc>
          <w:tcPr>
            <w:tcW w:w="1275"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100,0</w:t>
            </w:r>
          </w:p>
        </w:tc>
        <w:tc>
          <w:tcPr>
            <w:tcW w:w="1529"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100,0</w:t>
            </w:r>
          </w:p>
        </w:tc>
        <w:tc>
          <w:tcPr>
            <w:tcW w:w="1635"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100,0</w:t>
            </w:r>
          </w:p>
        </w:tc>
        <w:tc>
          <w:tcPr>
            <w:tcW w:w="1593"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300,0</w:t>
            </w:r>
          </w:p>
        </w:tc>
      </w:tr>
      <w:tr>
        <w:trPr/>
        <w:tc>
          <w:tcPr>
            <w:tcW w:w="530" w:type="dxa"/>
            <w:tcBorders/>
            <w:shd w:fill="auto" w:val="clear"/>
          </w:tcPr>
          <w:p>
            <w:pPr>
              <w:pStyle w:val="NoSpacing"/>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10</w:t>
            </w:r>
          </w:p>
        </w:tc>
        <w:tc>
          <w:tcPr>
            <w:tcW w:w="5802" w:type="dxa"/>
            <w:tcBorders/>
            <w:shd w:fill="auto" w:val="clear"/>
          </w:tcPr>
          <w:p>
            <w:pPr>
              <w:pStyle w:val="NoSpacing"/>
              <w:jc w:val="both"/>
              <w:rPr>
                <w:rFonts w:ascii="Times New Roman" w:hAnsi="Times New Roman"/>
                <w:i/>
                <w:i/>
                <w:sz w:val="28"/>
                <w:szCs w:val="28"/>
                <w:lang w:val="uk-UA"/>
              </w:rPr>
            </w:pPr>
            <w:r>
              <w:rPr>
                <w:rFonts w:eastAsia="Calibri" w:ascii="Times New Roman" w:hAnsi="Times New Roman" w:eastAsiaTheme="minorHAnsi"/>
                <w:sz w:val="28"/>
                <w:szCs w:val="28"/>
                <w:lang w:val="uk-UA" w:eastAsia="en-US"/>
              </w:rPr>
              <w:t>Покращення матеріально-технічного забезпечення Сектору поліцейської діяльності № 1 відділу поліції № 2 Полтавського районного управління поліції ГУНП в Полтавській області</w:t>
            </w:r>
            <w:r>
              <w:rPr>
                <w:rFonts w:eastAsia="Calibri" w:ascii="Times New Roman" w:hAnsi="Times New Roman" w:eastAsiaTheme="minorHAnsi"/>
                <w:i/>
                <w:sz w:val="28"/>
                <w:szCs w:val="28"/>
                <w:lang w:val="uk-UA" w:eastAsia="en-US"/>
              </w:rPr>
              <w:t xml:space="preserve"> (надання субвенції з місцевого бюджету для придбання електронно-обчислювальної техніки; техніки та обладнання спеціального призначення; паливно-мастильних матеріалів)</w:t>
            </w:r>
          </w:p>
        </w:tc>
        <w:tc>
          <w:tcPr>
            <w:tcW w:w="2545" w:type="dxa"/>
            <w:tcBorders/>
            <w:shd w:fill="auto" w:val="clear"/>
          </w:tcPr>
          <w:p>
            <w:pPr>
              <w:pStyle w:val="NoSpacing"/>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 xml:space="preserve">Виконавчий комітет, </w:t>
            </w:r>
          </w:p>
          <w:p>
            <w:pPr>
              <w:pStyle w:val="NoSpacing"/>
              <w:jc w:val="both"/>
              <w:rPr>
                <w:rFonts w:ascii="Times New Roman" w:hAnsi="Times New Roman"/>
                <w:color w:val="auto"/>
                <w:sz w:val="28"/>
                <w:szCs w:val="28"/>
                <w:lang w:val="uk-UA"/>
              </w:rPr>
            </w:pPr>
            <w:r>
              <w:rPr>
                <w:rFonts w:eastAsia="Calibri" w:ascii="Times New Roman" w:hAnsi="Times New Roman" w:eastAsiaTheme="minorHAnsi"/>
                <w:sz w:val="28"/>
                <w:szCs w:val="28"/>
                <w:lang w:val="uk-UA" w:eastAsia="en-US"/>
              </w:rPr>
              <w:t>СПД № 1 ВП №2 Полтавського РУП</w:t>
            </w:r>
          </w:p>
        </w:tc>
        <w:tc>
          <w:tcPr>
            <w:tcW w:w="1275"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100,0</w:t>
            </w:r>
          </w:p>
        </w:tc>
        <w:tc>
          <w:tcPr>
            <w:tcW w:w="1529"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100,0</w:t>
            </w:r>
          </w:p>
        </w:tc>
        <w:tc>
          <w:tcPr>
            <w:tcW w:w="1635"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100,0</w:t>
            </w:r>
          </w:p>
        </w:tc>
        <w:tc>
          <w:tcPr>
            <w:tcW w:w="1593"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300,0</w:t>
            </w:r>
          </w:p>
        </w:tc>
      </w:tr>
      <w:tr>
        <w:trPr/>
        <w:tc>
          <w:tcPr>
            <w:tcW w:w="530" w:type="dxa"/>
            <w:tcBorders/>
            <w:shd w:fill="auto" w:val="clear"/>
          </w:tcPr>
          <w:p>
            <w:pPr>
              <w:pStyle w:val="NoSpacing"/>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11</w:t>
            </w:r>
          </w:p>
        </w:tc>
        <w:tc>
          <w:tcPr>
            <w:tcW w:w="5802" w:type="dxa"/>
            <w:tcBorders/>
            <w:shd w:fill="auto" w:val="clear"/>
          </w:tcPr>
          <w:p>
            <w:pPr>
              <w:pStyle w:val="NoSpacing"/>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 xml:space="preserve">Встановлення тривожних кнопок екстреного реагування </w:t>
            </w:r>
          </w:p>
        </w:tc>
        <w:tc>
          <w:tcPr>
            <w:tcW w:w="2545" w:type="dxa"/>
            <w:tcBorders/>
            <w:shd w:fill="auto" w:val="clear"/>
          </w:tcPr>
          <w:p>
            <w:pPr>
              <w:pStyle w:val="NoSpacing"/>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Виконавчий комітет,</w:t>
            </w:r>
          </w:p>
          <w:p>
            <w:pPr>
              <w:pStyle w:val="NoSpacing"/>
              <w:jc w:val="both"/>
              <w:rPr>
                <w:rFonts w:ascii="Times New Roman" w:hAnsi="Times New Roman"/>
                <w:color w:val="auto"/>
                <w:sz w:val="28"/>
                <w:szCs w:val="28"/>
                <w:lang w:val="uk-UA"/>
              </w:rPr>
            </w:pPr>
            <w:r>
              <w:rPr>
                <w:rFonts w:eastAsia="Calibri" w:ascii="Times New Roman" w:hAnsi="Times New Roman" w:eastAsiaTheme="minorHAnsi"/>
                <w:sz w:val="28"/>
                <w:szCs w:val="28"/>
                <w:lang w:val="uk-UA" w:eastAsia="en-US"/>
              </w:rPr>
              <w:t>СПД № 1 ВП №2 Полтавського РУП</w:t>
            </w:r>
          </w:p>
        </w:tc>
        <w:tc>
          <w:tcPr>
            <w:tcW w:w="1275"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529"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635"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593"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r>
      <w:tr>
        <w:trPr/>
        <w:tc>
          <w:tcPr>
            <w:tcW w:w="530" w:type="dxa"/>
            <w:tcBorders/>
            <w:shd w:fill="auto" w:val="clear"/>
          </w:tcPr>
          <w:p>
            <w:pPr>
              <w:pStyle w:val="NoSpacing"/>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12</w:t>
            </w:r>
          </w:p>
        </w:tc>
        <w:tc>
          <w:tcPr>
            <w:tcW w:w="5802" w:type="dxa"/>
            <w:tcBorders/>
            <w:shd w:fill="auto" w:val="clear"/>
          </w:tcPr>
          <w:p>
            <w:pPr>
              <w:pStyle w:val="NoSpacing"/>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Встановлення камер відеонагляду по соціально значущих об’єктах в населених пунктах громади</w:t>
            </w:r>
          </w:p>
          <w:p>
            <w:pPr>
              <w:pStyle w:val="NoSpacing"/>
              <w:jc w:val="both"/>
              <w:rPr>
                <w:rFonts w:ascii="Times New Roman" w:hAnsi="Times New Roman" w:eastAsia="Calibri"/>
                <w:color w:val="auto"/>
                <w:sz w:val="28"/>
                <w:szCs w:val="28"/>
                <w:lang w:val="uk-UA" w:eastAsia="en-US"/>
              </w:rPr>
            </w:pPr>
            <w:r>
              <w:rPr>
                <w:rFonts w:eastAsia="Calibri" w:ascii="Times New Roman" w:hAnsi="Times New Roman"/>
                <w:color w:val="auto"/>
                <w:sz w:val="28"/>
                <w:szCs w:val="28"/>
                <w:lang w:val="uk-UA" w:eastAsia="en-US"/>
              </w:rPr>
            </w:r>
          </w:p>
        </w:tc>
        <w:tc>
          <w:tcPr>
            <w:tcW w:w="2545" w:type="dxa"/>
            <w:tcBorders/>
            <w:shd w:fill="auto" w:val="clear"/>
          </w:tcPr>
          <w:p>
            <w:pPr>
              <w:pStyle w:val="NoSpacing"/>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Виконавчий комітет</w:t>
            </w:r>
          </w:p>
        </w:tc>
        <w:tc>
          <w:tcPr>
            <w:tcW w:w="1275"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en-US" w:eastAsia="en-US"/>
              </w:rPr>
              <w:t>200</w:t>
            </w:r>
            <w:r>
              <w:rPr>
                <w:rFonts w:eastAsia="Calibri" w:ascii="Times New Roman" w:hAnsi="Times New Roman" w:eastAsiaTheme="minorHAnsi"/>
                <w:color w:val="auto"/>
                <w:sz w:val="28"/>
                <w:szCs w:val="28"/>
                <w:lang w:val="uk-UA" w:eastAsia="en-US"/>
              </w:rPr>
              <w:t>,0</w:t>
            </w:r>
          </w:p>
        </w:tc>
        <w:tc>
          <w:tcPr>
            <w:tcW w:w="1529"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200,0</w:t>
            </w:r>
          </w:p>
        </w:tc>
        <w:tc>
          <w:tcPr>
            <w:tcW w:w="1635"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200,0</w:t>
            </w:r>
          </w:p>
        </w:tc>
        <w:tc>
          <w:tcPr>
            <w:tcW w:w="1593"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600,0</w:t>
            </w:r>
          </w:p>
        </w:tc>
      </w:tr>
      <w:tr>
        <w:trPr/>
        <w:tc>
          <w:tcPr>
            <w:tcW w:w="530" w:type="dxa"/>
            <w:tcBorders/>
            <w:shd w:fill="auto" w:val="clear"/>
          </w:tcPr>
          <w:p>
            <w:pPr>
              <w:pStyle w:val="NoSpacing"/>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13</w:t>
            </w:r>
          </w:p>
        </w:tc>
        <w:tc>
          <w:tcPr>
            <w:tcW w:w="5802" w:type="dxa"/>
            <w:tcBorders/>
            <w:shd w:fill="auto" w:val="clear"/>
          </w:tcPr>
          <w:p>
            <w:pPr>
              <w:pStyle w:val="NoSpacing"/>
              <w:rPr>
                <w:rFonts w:ascii="Times New Roman" w:hAnsi="Times New Roman"/>
                <w:b/>
                <w:b/>
                <w:color w:val="auto"/>
                <w:sz w:val="28"/>
                <w:szCs w:val="28"/>
                <w:lang w:val="uk-UA"/>
              </w:rPr>
            </w:pPr>
            <w:r>
              <w:rPr>
                <w:rFonts w:eastAsia="Calibri" w:ascii="Times New Roman" w:hAnsi="Times New Roman" w:eastAsiaTheme="minorHAnsi"/>
                <w:sz w:val="28"/>
                <w:szCs w:val="28"/>
                <w:lang w:val="uk-UA" w:eastAsia="en-US"/>
              </w:rPr>
              <w:t>Придбання та забезпечення належної роботи камер відеонагляду, які розміщені в населених пунктах громади (оплата робіт та послуг з утримання та ремонту відеокамер, доступу до мережі інтернет)</w:t>
            </w:r>
          </w:p>
        </w:tc>
        <w:tc>
          <w:tcPr>
            <w:tcW w:w="2545" w:type="dxa"/>
            <w:tcBorders/>
            <w:shd w:fill="auto" w:val="clear"/>
          </w:tcPr>
          <w:p>
            <w:pPr>
              <w:pStyle w:val="NoSpacing"/>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Виконавчий комітет міської ради, інтернет-провайдери</w:t>
            </w:r>
          </w:p>
        </w:tc>
        <w:tc>
          <w:tcPr>
            <w:tcW w:w="1275" w:type="dxa"/>
            <w:tcBorders/>
            <w:shd w:fill="auto" w:val="clear"/>
          </w:tcPr>
          <w:p>
            <w:pPr>
              <w:pStyle w:val="NoSpacing"/>
              <w:jc w:val="center"/>
              <w:rPr>
                <w:rFonts w:ascii="Times New Roman" w:hAnsi="Times New Roman" w:eastAsia="Calibri"/>
                <w:b/>
                <w:b/>
                <w:color w:val="auto"/>
                <w:sz w:val="28"/>
                <w:szCs w:val="28"/>
                <w:lang w:val="uk-UA" w:eastAsia="en-US"/>
              </w:rPr>
            </w:pPr>
            <w:r>
              <w:rPr>
                <w:rFonts w:eastAsia="Calibri" w:ascii="Times New Roman" w:hAnsi="Times New Roman"/>
                <w:b/>
                <w:color w:val="auto"/>
                <w:sz w:val="28"/>
                <w:szCs w:val="28"/>
                <w:lang w:val="uk-UA" w:eastAsia="en-US"/>
              </w:rPr>
            </w:r>
          </w:p>
          <w:p>
            <w:pPr>
              <w:pStyle w:val="NoSpacing"/>
              <w:jc w:val="center"/>
              <w:rPr>
                <w:rFonts w:ascii="Times New Roman" w:hAnsi="Times New Roman"/>
                <w:b/>
                <w:b/>
                <w:color w:val="auto"/>
                <w:sz w:val="28"/>
                <w:szCs w:val="28"/>
                <w:lang w:val="uk-UA"/>
              </w:rPr>
            </w:pPr>
            <w:r>
              <w:rPr>
                <w:rFonts w:eastAsia="Calibri" w:ascii="Times New Roman" w:hAnsi="Times New Roman" w:eastAsiaTheme="minorHAnsi"/>
                <w:b/>
                <w:color w:val="auto"/>
                <w:sz w:val="28"/>
                <w:szCs w:val="28"/>
                <w:lang w:val="uk-UA" w:eastAsia="en-US"/>
              </w:rPr>
              <w:t>-</w:t>
            </w:r>
          </w:p>
        </w:tc>
        <w:tc>
          <w:tcPr>
            <w:tcW w:w="1529" w:type="dxa"/>
            <w:tcBorders/>
            <w:shd w:fill="auto" w:val="clear"/>
          </w:tcPr>
          <w:p>
            <w:pPr>
              <w:pStyle w:val="NoSpacing"/>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 у межах кошторисних видатків</w:t>
            </w:r>
          </w:p>
        </w:tc>
        <w:tc>
          <w:tcPr>
            <w:tcW w:w="1635" w:type="dxa"/>
            <w:tcBorders/>
            <w:shd w:fill="auto" w:val="clear"/>
          </w:tcPr>
          <w:p>
            <w:pPr>
              <w:pStyle w:val="Normal"/>
              <w:spacing w:lineRule="auto" w:line="240" w:before="0" w:after="0"/>
              <w:jc w:val="center"/>
              <w:rPr>
                <w:sz w:val="20"/>
              </w:rPr>
            </w:pPr>
            <w:r>
              <w:rPr>
                <w:rFonts w:eastAsia="Calibri" w:ascii="Times New Roman" w:hAnsi="Times New Roman" w:eastAsiaTheme="minorHAnsi"/>
                <w:sz w:val="28"/>
                <w:szCs w:val="28"/>
                <w:lang w:val="uk-UA" w:eastAsia="en-US"/>
              </w:rPr>
              <w:t>ЗП, у межах кошторисних видатків</w:t>
            </w:r>
          </w:p>
        </w:tc>
        <w:tc>
          <w:tcPr>
            <w:tcW w:w="1593" w:type="dxa"/>
            <w:tcBorders/>
            <w:shd w:fill="auto" w:val="clear"/>
          </w:tcPr>
          <w:p>
            <w:pPr>
              <w:pStyle w:val="Normal"/>
              <w:spacing w:lineRule="auto" w:line="240" w:before="0" w:after="0"/>
              <w:jc w:val="center"/>
              <w:rPr>
                <w:sz w:val="20"/>
              </w:rPr>
            </w:pPr>
            <w:r>
              <w:rPr>
                <w:rFonts w:eastAsia="Calibri" w:ascii="Times New Roman" w:hAnsi="Times New Roman" w:eastAsiaTheme="minorHAnsi"/>
                <w:sz w:val="28"/>
                <w:szCs w:val="28"/>
                <w:lang w:val="uk-UA" w:eastAsia="en-US"/>
              </w:rPr>
              <w:t>ЗП, у межах кошторисних видатків</w:t>
            </w:r>
          </w:p>
        </w:tc>
      </w:tr>
      <w:tr>
        <w:trPr/>
        <w:tc>
          <w:tcPr>
            <w:tcW w:w="530" w:type="dxa"/>
            <w:tcBorders/>
            <w:shd w:fill="auto" w:val="clear"/>
          </w:tcPr>
          <w:p>
            <w:pPr>
              <w:pStyle w:val="NoSpacing"/>
              <w:jc w:val="both"/>
              <w:rPr>
                <w:rFonts w:ascii="Times New Roman" w:hAnsi="Times New Roman" w:eastAsia="Calibri" w:eastAsiaTheme="minorHAnsi"/>
                <w:color w:val="auto"/>
                <w:sz w:val="28"/>
                <w:szCs w:val="28"/>
                <w:lang w:val="uk-UA"/>
              </w:rPr>
            </w:pPr>
            <w:r>
              <w:rPr>
                <w:rFonts w:eastAsia="Calibri" w:ascii="Times New Roman" w:hAnsi="Times New Roman" w:eastAsiaTheme="minorHAnsi"/>
                <w:color w:val="auto"/>
                <w:sz w:val="28"/>
                <w:szCs w:val="28"/>
                <w:lang w:val="uk-UA" w:eastAsia="en-US"/>
              </w:rPr>
              <w:t>14</w:t>
            </w:r>
          </w:p>
        </w:tc>
        <w:tc>
          <w:tcPr>
            <w:tcW w:w="5802" w:type="dxa"/>
            <w:tcBorders/>
            <w:shd w:fill="auto" w:val="clear"/>
          </w:tcPr>
          <w:p>
            <w:pPr>
              <w:pStyle w:val="Normal"/>
              <w:spacing w:before="0" w:after="0"/>
              <w:ind w:left="2" w:hanging="0"/>
              <w:jc w:val="both"/>
              <w:rPr>
                <w:rFonts w:ascii="Times New Roman" w:hAnsi="Times New Roman"/>
                <w:sz w:val="28"/>
                <w:szCs w:val="28"/>
                <w:lang w:val="uk-UA"/>
              </w:rPr>
            </w:pPr>
            <w:r>
              <w:rPr>
                <w:rFonts w:eastAsia="Calibri" w:ascii="Times New Roman" w:hAnsi="Times New Roman" w:eastAsiaTheme="minorHAnsi"/>
                <w:sz w:val="28"/>
                <w:szCs w:val="28"/>
                <w:lang w:val="uk-UA" w:eastAsia="en-US"/>
              </w:rPr>
              <w:t xml:space="preserve">Придбання паперу офісного </w:t>
            </w:r>
            <w:r>
              <w:rPr>
                <w:rFonts w:eastAsia="Calibri" w:ascii="Times New Roman" w:hAnsi="Times New Roman" w:eastAsiaTheme="minorHAnsi"/>
                <w:i/>
                <w:sz w:val="28"/>
                <w:szCs w:val="28"/>
                <w:lang w:val="uk-UA" w:eastAsia="en-US"/>
              </w:rPr>
              <w:t xml:space="preserve">(для проведення соціально-виховної, облікової та наглядової роботи із засудженими та правопорушниками </w:t>
            </w:r>
            <w:r>
              <w:rPr>
                <w:rFonts w:eastAsia="Calibri" w:cs="Times New Roman" w:ascii="Times New Roman" w:hAnsi="Times New Roman" w:eastAsiaTheme="minorHAnsi"/>
                <w:i/>
                <w:sz w:val="28"/>
                <w:szCs w:val="28"/>
                <w:lang w:val="uk-UA" w:eastAsia="en-US"/>
              </w:rPr>
              <w:t>Полтавським районним сектором №</w:t>
            </w:r>
            <w:r>
              <w:rPr>
                <w:rFonts w:eastAsia="Calibri" w:cs="Times New Roman" w:ascii="Times New Roman" w:hAnsi="Times New Roman" w:eastAsiaTheme="minorHAnsi"/>
                <w:i/>
                <w:sz w:val="28"/>
                <w:szCs w:val="28"/>
                <w:lang w:eastAsia="en-US"/>
              </w:rPr>
              <w:t> </w:t>
            </w:r>
            <w:r>
              <w:rPr>
                <w:rFonts w:eastAsia="Calibri" w:cs="Times New Roman" w:ascii="Times New Roman" w:hAnsi="Times New Roman" w:eastAsiaTheme="minorHAnsi"/>
                <w:i/>
                <w:sz w:val="28"/>
                <w:szCs w:val="28"/>
                <w:lang w:val="uk-UA" w:eastAsia="en-US"/>
              </w:rPr>
              <w:t>7 філії Державної установи „Центр пробації” в Полтавській області</w:t>
            </w:r>
            <w:r>
              <w:rPr>
                <w:rFonts w:eastAsia="Calibri" w:ascii="Times New Roman" w:hAnsi="Times New Roman" w:eastAsiaTheme="minorHAnsi"/>
                <w:i/>
                <w:sz w:val="28"/>
                <w:szCs w:val="28"/>
                <w:lang w:val="uk-UA" w:eastAsia="en-US"/>
              </w:rPr>
              <w:t>)</w:t>
            </w:r>
          </w:p>
        </w:tc>
        <w:tc>
          <w:tcPr>
            <w:tcW w:w="2545" w:type="dxa"/>
            <w:tcBorders/>
            <w:shd w:fill="auto" w:val="clear"/>
          </w:tcPr>
          <w:p>
            <w:pPr>
              <w:pStyle w:val="NoSpacing"/>
              <w:jc w:val="both"/>
              <w:rPr>
                <w:rFonts w:ascii="Times New Roman" w:hAnsi="Times New Roman" w:eastAsia="Calibri" w:eastAsiaTheme="minorHAnsi"/>
                <w:color w:val="auto"/>
                <w:sz w:val="28"/>
                <w:szCs w:val="28"/>
                <w:lang w:val="uk-UA"/>
              </w:rPr>
            </w:pPr>
            <w:r>
              <w:rPr>
                <w:rFonts w:eastAsia="Calibri" w:ascii="Times New Roman" w:hAnsi="Times New Roman" w:eastAsiaTheme="minorHAnsi"/>
                <w:color w:val="auto"/>
                <w:sz w:val="28"/>
                <w:szCs w:val="28"/>
                <w:lang w:val="uk-UA" w:eastAsia="en-US"/>
              </w:rPr>
              <w:t>Виконавчий комітет міської ради,</w:t>
            </w:r>
          </w:p>
          <w:p>
            <w:pPr>
              <w:pStyle w:val="NoSpacing"/>
              <w:jc w:val="both"/>
              <w:rPr>
                <w:rFonts w:ascii="Times New Roman" w:hAnsi="Times New Roman" w:eastAsia="Calibri" w:eastAsiaTheme="minorHAnsi"/>
                <w:color w:val="auto"/>
                <w:sz w:val="28"/>
                <w:szCs w:val="28"/>
                <w:lang w:val="uk-UA"/>
              </w:rPr>
            </w:pPr>
            <w:r>
              <w:rPr>
                <w:rFonts w:eastAsia="Calibri" w:ascii="Times New Roman" w:hAnsi="Times New Roman" w:eastAsiaTheme="minorHAnsi"/>
                <w:color w:val="auto"/>
                <w:sz w:val="28"/>
                <w:szCs w:val="28"/>
                <w:lang w:val="uk-UA" w:eastAsia="en-US"/>
              </w:rPr>
              <w:t xml:space="preserve">Філія Державної установи </w:t>
            </w:r>
            <w:r>
              <w:rPr>
                <w:rFonts w:eastAsia="Calibri" w:ascii="Times New Roman" w:hAnsi="Times New Roman" w:eastAsiaTheme="minorHAnsi"/>
                <w:sz w:val="28"/>
                <w:szCs w:val="28"/>
                <w:lang w:val="uk-UA" w:eastAsia="en-US"/>
              </w:rPr>
              <w:t>„Центр пробації” в Полтавській області, Полтавський РС №7 філії ДУ „Центр пробації” в Полтавській області</w:t>
            </w:r>
          </w:p>
        </w:tc>
        <w:tc>
          <w:tcPr>
            <w:tcW w:w="1275" w:type="dxa"/>
            <w:tcBorders/>
            <w:shd w:fill="auto" w:val="clear"/>
          </w:tcPr>
          <w:p>
            <w:pPr>
              <w:pStyle w:val="NoSpacing"/>
              <w:jc w:val="center"/>
              <w:rPr>
                <w:rFonts w:ascii="Times New Roman" w:hAnsi="Times New Roman" w:eastAsia="Calibri" w:eastAsiaTheme="minorHAnsi"/>
                <w:b/>
                <w:b/>
                <w:color w:val="auto"/>
                <w:sz w:val="28"/>
                <w:szCs w:val="28"/>
                <w:lang w:val="uk-UA"/>
              </w:rPr>
            </w:pPr>
            <w:r>
              <w:rPr>
                <w:rFonts w:eastAsia="Calibri" w:ascii="Times New Roman" w:hAnsi="Times New Roman" w:eastAsiaTheme="minorHAnsi"/>
                <w:b/>
                <w:color w:val="auto"/>
                <w:sz w:val="28"/>
                <w:szCs w:val="28"/>
                <w:lang w:val="uk-UA" w:eastAsia="en-US"/>
              </w:rPr>
              <w:t>-</w:t>
            </w:r>
          </w:p>
        </w:tc>
        <w:tc>
          <w:tcPr>
            <w:tcW w:w="1529" w:type="dxa"/>
            <w:tcBorders/>
            <w:shd w:fill="auto" w:val="clear"/>
          </w:tcPr>
          <w:p>
            <w:pPr>
              <w:pStyle w:val="NoSpacing"/>
              <w:jc w:val="center"/>
              <w:rPr>
                <w:rFonts w:ascii="Times New Roman" w:hAnsi="Times New Roman" w:eastAsia="Calibri" w:eastAsiaTheme="minorHAnsi"/>
                <w:b/>
                <w:b/>
                <w:color w:val="auto"/>
                <w:sz w:val="28"/>
                <w:szCs w:val="28"/>
                <w:lang w:val="uk-UA"/>
              </w:rPr>
            </w:pPr>
            <w:r>
              <w:rPr>
                <w:rFonts w:eastAsia="Calibri" w:ascii="Times New Roman" w:hAnsi="Times New Roman" w:eastAsiaTheme="minorHAnsi"/>
                <w:b/>
                <w:color w:val="auto"/>
                <w:sz w:val="28"/>
                <w:szCs w:val="28"/>
                <w:lang w:val="uk-UA" w:eastAsia="en-US"/>
              </w:rPr>
              <w:t>3,0</w:t>
            </w:r>
          </w:p>
        </w:tc>
        <w:tc>
          <w:tcPr>
            <w:tcW w:w="1635" w:type="dxa"/>
            <w:tcBorders/>
            <w:shd w:fill="auto" w:val="clear"/>
          </w:tcPr>
          <w:p>
            <w:pPr>
              <w:pStyle w:val="NoSpacing"/>
              <w:jc w:val="center"/>
              <w:rPr>
                <w:rFonts w:ascii="Times New Roman" w:hAnsi="Times New Roman" w:eastAsia="Calibri" w:eastAsiaTheme="minorHAnsi"/>
                <w:b/>
                <w:b/>
                <w:color w:val="auto"/>
                <w:sz w:val="28"/>
                <w:szCs w:val="28"/>
                <w:lang w:val="uk-UA"/>
              </w:rPr>
            </w:pPr>
            <w:r>
              <w:rPr>
                <w:rFonts w:eastAsia="Calibri" w:ascii="Times New Roman" w:hAnsi="Times New Roman" w:eastAsiaTheme="minorHAnsi"/>
                <w:b/>
                <w:color w:val="auto"/>
                <w:sz w:val="28"/>
                <w:szCs w:val="28"/>
                <w:lang w:val="uk-UA" w:eastAsia="en-US"/>
              </w:rPr>
              <w:t>-</w:t>
            </w:r>
          </w:p>
        </w:tc>
        <w:tc>
          <w:tcPr>
            <w:tcW w:w="1593" w:type="dxa"/>
            <w:tcBorders/>
            <w:shd w:fill="auto" w:val="clear"/>
          </w:tcPr>
          <w:p>
            <w:pPr>
              <w:pStyle w:val="NoSpacing"/>
              <w:jc w:val="center"/>
              <w:rPr>
                <w:rFonts w:eastAsia="Calibri" w:eastAsiaTheme="minorHAnsi"/>
                <w:lang w:eastAsia="en-US"/>
              </w:rPr>
            </w:pPr>
            <w:r>
              <w:rPr>
                <w:rFonts w:eastAsia="Calibri" w:ascii="Times New Roman" w:hAnsi="Times New Roman" w:eastAsiaTheme="minorHAnsi"/>
                <w:b/>
                <w:color w:val="auto"/>
                <w:sz w:val="28"/>
                <w:szCs w:val="28"/>
                <w:lang w:val="uk-UA" w:eastAsia="en-US"/>
              </w:rPr>
              <w:t>3,</w:t>
            </w:r>
            <w:r>
              <w:rPr>
                <w:rFonts w:eastAsia="Calibri" w:ascii="Times New Roman" w:hAnsi="Times New Roman" w:eastAsiaTheme="minorHAnsi"/>
                <w:b/>
                <w:color w:val="auto"/>
                <w:sz w:val="28"/>
                <w:szCs w:val="28"/>
                <w:lang w:val="uk-UA" w:eastAsia="en-US"/>
              </w:rPr>
              <w:t>0</w:t>
            </w:r>
          </w:p>
        </w:tc>
      </w:tr>
      <w:tr>
        <w:trPr/>
        <w:tc>
          <w:tcPr>
            <w:tcW w:w="530" w:type="dxa"/>
            <w:tcBorders/>
            <w:shd w:fill="auto" w:val="clear"/>
          </w:tcPr>
          <w:p>
            <w:pPr>
              <w:pStyle w:val="NoSpacing"/>
              <w:jc w:val="both"/>
              <w:rPr>
                <w:rFonts w:ascii="Times New Roman" w:hAnsi="Times New Roman" w:eastAsia="Calibri" w:eastAsiaTheme="minorHAnsi"/>
                <w:color w:val="auto"/>
                <w:sz w:val="28"/>
                <w:szCs w:val="28"/>
                <w:lang w:val="uk-UA" w:eastAsia="en-US"/>
              </w:rPr>
            </w:pPr>
            <w:r>
              <w:rPr>
                <w:rFonts w:eastAsia="Calibri" w:eastAsiaTheme="minorHAnsi" w:ascii="Times New Roman" w:hAnsi="Times New Roman"/>
                <w:color w:val="auto"/>
                <w:sz w:val="28"/>
                <w:szCs w:val="28"/>
                <w:lang w:val="uk-UA" w:eastAsia="en-US"/>
              </w:rPr>
            </w:r>
          </w:p>
        </w:tc>
        <w:tc>
          <w:tcPr>
            <w:tcW w:w="5802" w:type="dxa"/>
            <w:tcBorders/>
            <w:shd w:fill="auto" w:val="clear"/>
          </w:tcPr>
          <w:p>
            <w:pPr>
              <w:pStyle w:val="NoSpacing"/>
              <w:jc w:val="center"/>
              <w:rPr>
                <w:rFonts w:ascii="Times New Roman" w:hAnsi="Times New Roman"/>
                <w:b/>
                <w:b/>
                <w:color w:val="auto"/>
                <w:sz w:val="28"/>
                <w:szCs w:val="28"/>
                <w:lang w:val="uk-UA"/>
              </w:rPr>
            </w:pPr>
            <w:r>
              <w:rPr>
                <w:rFonts w:eastAsia="Calibri" w:ascii="Times New Roman" w:hAnsi="Times New Roman" w:eastAsiaTheme="minorHAnsi"/>
                <w:b/>
                <w:color w:val="auto"/>
                <w:sz w:val="28"/>
                <w:szCs w:val="28"/>
                <w:lang w:val="uk-UA" w:eastAsia="en-US"/>
              </w:rPr>
              <w:t>Всього:</w:t>
            </w:r>
          </w:p>
        </w:tc>
        <w:tc>
          <w:tcPr>
            <w:tcW w:w="2545" w:type="dxa"/>
            <w:tcBorders/>
            <w:shd w:fill="auto" w:val="clear"/>
          </w:tcPr>
          <w:p>
            <w:pPr>
              <w:pStyle w:val="NoSpacing"/>
              <w:jc w:val="both"/>
              <w:rPr>
                <w:rFonts w:ascii="Times New Roman" w:hAnsi="Times New Roman" w:eastAsia="Calibri" w:eastAsiaTheme="minorHAnsi"/>
                <w:color w:val="auto"/>
                <w:sz w:val="28"/>
                <w:szCs w:val="28"/>
                <w:lang w:val="uk-UA" w:eastAsia="en-US"/>
              </w:rPr>
            </w:pPr>
            <w:r>
              <w:rPr>
                <w:rFonts w:eastAsia="Calibri" w:eastAsiaTheme="minorHAnsi" w:ascii="Times New Roman" w:hAnsi="Times New Roman"/>
                <w:color w:val="auto"/>
                <w:sz w:val="28"/>
                <w:szCs w:val="28"/>
                <w:lang w:val="uk-UA" w:eastAsia="en-US"/>
              </w:rPr>
            </w:r>
          </w:p>
        </w:tc>
        <w:tc>
          <w:tcPr>
            <w:tcW w:w="1275" w:type="dxa"/>
            <w:tcBorders/>
            <w:shd w:fill="auto" w:val="clear"/>
          </w:tcPr>
          <w:p>
            <w:pPr>
              <w:pStyle w:val="NoSpacing"/>
              <w:jc w:val="center"/>
              <w:rPr>
                <w:rFonts w:ascii="Times New Roman" w:hAnsi="Times New Roman"/>
                <w:b/>
                <w:b/>
                <w:color w:val="auto"/>
                <w:sz w:val="28"/>
                <w:szCs w:val="28"/>
                <w:lang w:val="uk-UA"/>
              </w:rPr>
            </w:pPr>
            <w:r>
              <w:rPr>
                <w:rFonts w:eastAsia="Calibri" w:ascii="Times New Roman" w:hAnsi="Times New Roman" w:eastAsiaTheme="minorHAnsi"/>
                <w:b/>
                <w:color w:val="auto"/>
                <w:sz w:val="28"/>
                <w:szCs w:val="28"/>
                <w:lang w:val="uk-UA" w:eastAsia="en-US"/>
              </w:rPr>
              <w:t>400,0</w:t>
            </w:r>
          </w:p>
        </w:tc>
        <w:tc>
          <w:tcPr>
            <w:tcW w:w="1529" w:type="dxa"/>
            <w:tcBorders/>
            <w:shd w:fill="auto" w:val="clear"/>
          </w:tcPr>
          <w:p>
            <w:pPr>
              <w:pStyle w:val="NoSpacing"/>
              <w:jc w:val="center"/>
              <w:rPr>
                <w:rFonts w:ascii="Times New Roman" w:hAnsi="Times New Roman"/>
                <w:b/>
                <w:b/>
                <w:color w:val="auto"/>
                <w:sz w:val="28"/>
                <w:szCs w:val="28"/>
                <w:lang w:val="uk-UA"/>
              </w:rPr>
            </w:pPr>
            <w:r>
              <w:rPr>
                <w:rFonts w:eastAsia="Calibri" w:ascii="Times New Roman" w:hAnsi="Times New Roman" w:eastAsiaTheme="minorHAnsi"/>
                <w:b/>
                <w:color w:val="auto"/>
                <w:sz w:val="28"/>
                <w:szCs w:val="28"/>
                <w:lang w:val="uk-UA" w:eastAsia="en-US"/>
              </w:rPr>
              <w:t>403,0</w:t>
            </w:r>
          </w:p>
        </w:tc>
        <w:tc>
          <w:tcPr>
            <w:tcW w:w="1635" w:type="dxa"/>
            <w:tcBorders/>
            <w:shd w:fill="auto" w:val="clear"/>
          </w:tcPr>
          <w:p>
            <w:pPr>
              <w:pStyle w:val="NoSpacing"/>
              <w:jc w:val="center"/>
              <w:rPr>
                <w:rFonts w:ascii="Times New Roman" w:hAnsi="Times New Roman"/>
                <w:b/>
                <w:b/>
                <w:color w:val="auto"/>
                <w:sz w:val="28"/>
                <w:szCs w:val="28"/>
                <w:lang w:val="uk-UA"/>
              </w:rPr>
            </w:pPr>
            <w:r>
              <w:rPr>
                <w:rFonts w:eastAsia="Calibri" w:ascii="Times New Roman" w:hAnsi="Times New Roman" w:eastAsiaTheme="minorHAnsi"/>
                <w:b/>
                <w:color w:val="auto"/>
                <w:sz w:val="28"/>
                <w:szCs w:val="28"/>
                <w:lang w:val="uk-UA" w:eastAsia="en-US"/>
              </w:rPr>
              <w:t>400,0</w:t>
            </w:r>
          </w:p>
        </w:tc>
        <w:tc>
          <w:tcPr>
            <w:tcW w:w="1593" w:type="dxa"/>
            <w:tcBorders/>
            <w:shd w:fill="auto" w:val="clear"/>
          </w:tcPr>
          <w:p>
            <w:pPr>
              <w:pStyle w:val="NoSpacing"/>
              <w:jc w:val="center"/>
              <w:rPr>
                <w:rFonts w:ascii="Times New Roman" w:hAnsi="Times New Roman"/>
                <w:b/>
                <w:b/>
                <w:color w:val="auto"/>
                <w:sz w:val="28"/>
                <w:szCs w:val="28"/>
                <w:lang w:val="uk-UA"/>
              </w:rPr>
            </w:pPr>
            <w:r>
              <w:rPr>
                <w:rFonts w:eastAsia="Calibri" w:ascii="Times New Roman" w:hAnsi="Times New Roman" w:eastAsiaTheme="minorHAnsi"/>
                <w:b/>
                <w:color w:val="auto"/>
                <w:sz w:val="28"/>
                <w:szCs w:val="28"/>
                <w:lang w:val="uk-UA" w:eastAsia="en-US"/>
              </w:rPr>
              <w:t>1203,0</w:t>
            </w:r>
          </w:p>
        </w:tc>
      </w:tr>
    </w:tbl>
    <w:p>
      <w:pPr>
        <w:pStyle w:val="Normal"/>
        <w:rPr>
          <w:rFonts w:ascii="Times New Roman" w:hAnsi="Times New Roman" w:eastAsia="Arial Unicode MS" w:cs="Arial Unicode MS"/>
          <w:color w:val="00000A"/>
          <w:kern w:val="2"/>
          <w:sz w:val="16"/>
          <w:szCs w:val="16"/>
          <w:lang w:val="uk-UA" w:eastAsia="zh-CN" w:bidi="hi-IN"/>
        </w:rPr>
      </w:pPr>
      <w:r>
        <w:rPr>
          <w:rFonts w:eastAsia="Arial Unicode MS" w:cs="Arial Unicode MS" w:ascii="Times New Roman" w:hAnsi="Times New Roman"/>
          <w:color w:val="00000A"/>
          <w:kern w:val="2"/>
          <w:sz w:val="16"/>
          <w:szCs w:val="16"/>
          <w:lang w:val="uk-UA" w:eastAsia="zh-CN" w:bidi="hi-IN"/>
        </w:rPr>
      </w:r>
    </w:p>
    <w:p>
      <w:pPr>
        <w:sectPr>
          <w:type w:val="nextPage"/>
          <w:pgSz w:orient="landscape" w:w="16838" w:h="11906"/>
          <w:pgMar w:left="1134" w:right="1134" w:header="0" w:top="1701" w:footer="0" w:bottom="567" w:gutter="0"/>
          <w:pgNumType w:fmt="decimal"/>
          <w:formProt w:val="false"/>
          <w:textDirection w:val="lrTb"/>
          <w:docGrid w:type="default" w:linePitch="100" w:charSpace="4096"/>
        </w:sectPr>
        <w:pStyle w:val="Normal"/>
        <w:rPr>
          <w:rFonts w:ascii="Times New Roman" w:hAnsi="Times New Roman" w:cs="Times New Roman"/>
          <w:sz w:val="24"/>
          <w:szCs w:val="24"/>
          <w:lang w:val="uk-UA"/>
        </w:rPr>
      </w:pPr>
      <w:r>
        <w:rPr>
          <w:rFonts w:cs="Times New Roman" w:ascii="Times New Roman" w:hAnsi="Times New Roman"/>
          <w:sz w:val="24"/>
          <w:szCs w:val="24"/>
        </w:rPr>
        <w:t>Примітка до таблиці. ЗП – за потребою. Практична реалізація заходу потребує уточненої суми фінансування</w:t>
      </w:r>
    </w:p>
    <w:p>
      <w:pPr>
        <w:pStyle w:val="Normal"/>
        <w:spacing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Symbol">
    <w:charset w:val="cc"/>
    <w:family w:val="roman"/>
    <w:pitch w:val="variable"/>
  </w:font>
  <w:font w:name="Wingdings">
    <w:charset w:val="cc"/>
    <w:family w:val="roman"/>
    <w:pitch w:val="variable"/>
  </w:font>
  <w:font w:name="Courier New">
    <w:charset w:val="cc"/>
    <w:family w:val="roman"/>
    <w:pitch w:val="variable"/>
  </w:font>
  <w:font w:name="Liberation Sans">
    <w:altName w:val="Arial"/>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5313b"/>
    <w:pPr>
      <w:widowControl/>
      <w:overflowPunct w:val="false"/>
      <w:bidi w:val="0"/>
      <w:spacing w:lineRule="auto" w:line="276" w:before="0" w:after="200"/>
      <w:jc w:val="left"/>
    </w:pPr>
    <w:rPr>
      <w:rFonts w:ascii="Liberation Serif" w:hAnsi="Liberation Serif" w:eastAsia="NSimSun" w:cs="Arial"/>
      <w:color w:val="auto"/>
      <w:kern w:val="2"/>
      <w:sz w:val="22"/>
      <w:szCs w:val="24"/>
      <w:lang w:val="uk-UA" w:eastAsia="zh-CN" w:bidi="hi-IN"/>
    </w:rPr>
  </w:style>
  <w:style w:type="character" w:styleId="DefaultParagraphFont" w:default="1">
    <w:name w:val="Default Paragraph Font"/>
    <w:uiPriority w:val="1"/>
    <w:semiHidden/>
    <w:unhideWhenUsed/>
    <w:qFormat/>
    <w:rPr/>
  </w:style>
  <w:style w:type="character" w:styleId="Style14">
    <w:name w:val="Виділення жирним"/>
    <w:qFormat/>
    <w:rPr>
      <w:b/>
      <w:bCs/>
    </w:rPr>
  </w:style>
  <w:style w:type="character" w:styleId="1">
    <w:name w:val="Заголовок 1 Знак"/>
    <w:qFormat/>
    <w:rPr>
      <w:rFonts w:ascii="Times New Roman" w:hAnsi="Times New Roman" w:eastAsia="Times New Roman" w:cs="Times New Roman"/>
      <w:b/>
      <w:bCs/>
      <w:sz w:val="28"/>
      <w:szCs w:val="24"/>
      <w:lang w:val="uk-UA"/>
    </w:rPr>
  </w:style>
  <w:style w:type="character" w:styleId="Style15">
    <w:name w:val="Выделение жирным"/>
    <w:qFormat/>
    <w:rPr>
      <w:b/>
      <w:bCs/>
    </w:rPr>
  </w:style>
  <w:style w:type="character" w:styleId="Style16">
    <w:name w:val="Текст выноски Знак"/>
    <w:qFormat/>
    <w:rPr>
      <w:rFonts w:ascii="Tahoma" w:hAnsi="Tahoma" w:eastAsia="Noto Sans CJK SC Regular;Times New Roman" w:cs="Mangal;Courier New"/>
      <w:kern w:val="2"/>
      <w:sz w:val="16"/>
      <w:szCs w:val="14"/>
      <w:lang w:val="uk-UA" w:eastAsia="zh-CN" w:bidi="hi-IN"/>
    </w:rPr>
  </w:style>
  <w:style w:type="character" w:styleId="11">
    <w:name w:val="Основной шрифт абзаца1"/>
    <w:qFormat/>
    <w:rPr/>
  </w:style>
  <w:style w:type="character" w:styleId="WW8Num1z3">
    <w:name w:val="WW8Num1z3"/>
    <w:qFormat/>
    <w:rPr>
      <w:rFonts w:ascii="Symbol" w:hAnsi="Symbol" w:cs="Symbol"/>
    </w:rPr>
  </w:style>
  <w:style w:type="character" w:styleId="WW8Num1z2">
    <w:name w:val="WW8Num1z2"/>
    <w:qFormat/>
    <w:rPr>
      <w:rFonts w:ascii="Wingdings" w:hAnsi="Wingdings" w:cs="Wingdings"/>
    </w:rPr>
  </w:style>
  <w:style w:type="character" w:styleId="WW8Num1z1">
    <w:name w:val="WW8Num1z1"/>
    <w:qFormat/>
    <w:rPr>
      <w:rFonts w:ascii="Courier New" w:hAnsi="Courier New" w:cs="Courier New"/>
    </w:rPr>
  </w:style>
  <w:style w:type="character" w:styleId="WW8Num1z0">
    <w:name w:val="WW8Num1z0"/>
    <w:qFormat/>
    <w:rPr>
      <w:rFonts w:ascii="Times New Roman" w:hAnsi="Times New Roman" w:eastAsia="Times New Roman" w:cs="Times New Roman"/>
    </w:rPr>
  </w:style>
  <w:style w:type="character" w:styleId="2">
    <w:name w:val="Основной шрифт абзаца2"/>
    <w:qFormat/>
    <w:rPr/>
  </w:style>
  <w:style w:type="character" w:styleId="3">
    <w:name w:val="Основной шрифт абзаца3"/>
    <w:qFormat/>
    <w:rPr/>
  </w:style>
  <w:style w:type="character" w:styleId="Style17">
    <w:name w:val="Основной шрифт абзаца"/>
    <w:qFormat/>
    <w:rPr/>
  </w:style>
  <w:style w:type="paragraph" w:styleId="Style18" w:customStyle="1">
    <w:name w:val="Заголовок"/>
    <w:basedOn w:val="Normal"/>
    <w:next w:val="Style19"/>
    <w:qFormat/>
    <w:rsid w:val="000a59fa"/>
    <w:pPr>
      <w:keepNext w:val="true"/>
      <w:spacing w:before="240" w:after="120"/>
    </w:pPr>
    <w:rPr>
      <w:rFonts w:ascii="Liberation Sans" w:hAnsi="Liberation Sans" w:eastAsia="Microsoft YaHei" w:cs="Arial"/>
      <w:sz w:val="28"/>
      <w:szCs w:val="28"/>
    </w:rPr>
  </w:style>
  <w:style w:type="paragraph" w:styleId="Style19">
    <w:name w:val="Body Text"/>
    <w:basedOn w:val="Normal"/>
    <w:rsid w:val="000a59fa"/>
    <w:pPr>
      <w:spacing w:before="0" w:after="140"/>
    </w:pPr>
    <w:rPr/>
  </w:style>
  <w:style w:type="paragraph" w:styleId="Style20">
    <w:name w:val="List"/>
    <w:basedOn w:val="Style19"/>
    <w:rsid w:val="000a59fa"/>
    <w:pPr/>
    <w:rPr>
      <w:rFonts w:cs="Arial"/>
    </w:rPr>
  </w:style>
  <w:style w:type="paragraph" w:styleId="Style21" w:customStyle="1">
    <w:name w:val="Caption"/>
    <w:basedOn w:val="Normal"/>
    <w:qFormat/>
    <w:rsid w:val="000a59fa"/>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Indexheading">
    <w:name w:val="index heading"/>
    <w:basedOn w:val="Normal"/>
    <w:qFormat/>
    <w:rsid w:val="000a59fa"/>
    <w:pPr>
      <w:suppressLineNumbers/>
    </w:pPr>
    <w:rPr>
      <w:rFonts w:cs="Arial"/>
    </w:rPr>
  </w:style>
  <w:style w:type="paragraph" w:styleId="NoSpacing">
    <w:name w:val="No Spacing"/>
    <w:uiPriority w:val="1"/>
    <w:qFormat/>
    <w:rsid w:val="003c1884"/>
    <w:pPr>
      <w:widowControl/>
      <w:overflowPunct w:val="false"/>
      <w:bidi w:val="0"/>
      <w:jc w:val="left"/>
    </w:pPr>
    <w:rPr>
      <w:rFonts w:ascii="Calibri" w:hAnsi="Calibri" w:eastAsia="Calibri" w:cs="Times New Roman"/>
      <w:color w:val="00000A"/>
      <w:kern w:val="2"/>
      <w:sz w:val="22"/>
      <w:szCs w:val="24"/>
      <w:lang w:val="uk-UA" w:eastAsia="en-US" w:bidi="hi-IN"/>
    </w:rPr>
  </w:style>
  <w:style w:type="paragraph" w:styleId="Style23" w:customStyle="1">
    <w:name w:val="Содержимое таблицы"/>
    <w:basedOn w:val="Normal"/>
    <w:qFormat/>
    <w:rsid w:val="000a59fa"/>
    <w:pPr>
      <w:suppressLineNumbers/>
    </w:pPr>
    <w:rPr/>
  </w:style>
  <w:style w:type="paragraph" w:styleId="ListParagraph">
    <w:name w:val="List Paragraph"/>
    <w:basedOn w:val="Normal"/>
    <w:qFormat/>
    <w:pPr>
      <w:spacing w:lineRule="auto" w:line="240" w:before="0" w:after="0"/>
      <w:ind w:left="720" w:right="0" w:hanging="0"/>
      <w:contextualSpacing/>
    </w:pPr>
    <w:rPr>
      <w:rFonts w:ascii="Liberation Serif" w:hAnsi="Liberation Serif" w:eastAsia="Noto Sans CJK SC Regular" w:cs="Mangal"/>
      <w:kern w:val="2"/>
      <w:sz w:val="24"/>
      <w:szCs w:val="21"/>
      <w:lang w:val="en-US" w:eastAsia="zh-CN" w:bidi="hi-IN"/>
    </w:rPr>
  </w:style>
  <w:style w:type="paragraph" w:styleId="Style24">
    <w:name w:val="Абзац списка"/>
    <w:basedOn w:val="Normal"/>
    <w:qFormat/>
    <w:pPr>
      <w:suppressAutoHyphens w:val="false"/>
      <w:spacing w:before="0" w:after="0"/>
      <w:ind w:left="720" w:right="0" w:hanging="0"/>
      <w:contextualSpacing/>
    </w:pPr>
    <w:rPr>
      <w:rFonts w:eastAsia="Times New Roman" w:cs="Lohit Devanagari;Times New Roman"/>
      <w:lang w:val="ru-RU"/>
    </w:rPr>
  </w:style>
  <w:style w:type="paragraph" w:styleId="Style25">
    <w:name w:val="Заголовок таблицы"/>
    <w:basedOn w:val="Style23"/>
    <w:qFormat/>
    <w:pPr>
      <w:suppressLineNumbers/>
      <w:jc w:val="center"/>
    </w:pPr>
    <w:rPr>
      <w:b/>
      <w:bCs/>
    </w:rPr>
  </w:style>
  <w:style w:type="paragraph" w:styleId="Bodytext2">
    <w:name w:val="Body text (2)"/>
    <w:basedOn w:val="Normal"/>
    <w:qFormat/>
    <w:pPr>
      <w:shd w:val="clear" w:fill="FFFFFF"/>
      <w:spacing w:lineRule="exact" w:line="317" w:before="0" w:after="240"/>
      <w:ind w:left="0" w:right="0" w:firstLine="720"/>
    </w:pPr>
    <w:rPr>
      <w:rFonts w:ascii="Calibri" w:hAnsi="Calibri" w:eastAsia="Calibri" w:cs="Times New Roman"/>
      <w:b/>
      <w:bCs/>
      <w:i/>
      <w:iCs/>
      <w:sz w:val="27"/>
      <w:szCs w:val="27"/>
    </w:rPr>
  </w:style>
  <w:style w:type="paragraph" w:styleId="A">
    <w:name w:val="a"/>
    <w:basedOn w:val="Normal"/>
    <w:qFormat/>
    <w:pPr>
      <w:suppressAutoHyphens w:val="false"/>
      <w:spacing w:before="100" w:after="100"/>
    </w:pPr>
    <w:rPr>
      <w:rFonts w:eastAsia="Times New Roman" w:cs="Times New Roman"/>
      <w:kern w:val="0"/>
      <w:lang w:val="ru-RU" w:bidi="ar-SA"/>
    </w:rPr>
  </w:style>
  <w:style w:type="paragraph" w:styleId="Style26">
    <w:name w:val="Обычный (веб)"/>
    <w:basedOn w:val="Normal"/>
    <w:qFormat/>
    <w:pPr>
      <w:suppressAutoHyphens w:val="false"/>
      <w:spacing w:before="100" w:after="100"/>
    </w:pPr>
    <w:rPr>
      <w:rFonts w:eastAsia="Times New Roman" w:cs="Times New Roman"/>
      <w:kern w:val="0"/>
      <w:lang w:val="ru-RU" w:bidi="ar-SA"/>
    </w:rPr>
  </w:style>
  <w:style w:type="paragraph" w:styleId="Style27">
    <w:name w:val="Текст выноски"/>
    <w:basedOn w:val="Normal"/>
    <w:qFormat/>
    <w:pPr/>
    <w:rPr>
      <w:rFonts w:ascii="Tahoma" w:hAnsi="Tahoma" w:cs="Mangal;Courier New"/>
      <w:sz w:val="16"/>
      <w:szCs w:val="14"/>
    </w:rPr>
  </w:style>
  <w:style w:type="paragraph" w:styleId="Style28">
    <w:name w:val="Вміст таблиці"/>
    <w:basedOn w:val="Normal"/>
    <w:qFormat/>
    <w:pPr>
      <w:suppressLineNumbers/>
    </w:pPr>
    <w:rPr/>
  </w:style>
  <w:style w:type="paragraph" w:styleId="Style29">
    <w:name w:val="Покажчик"/>
    <w:basedOn w:val="Normal"/>
    <w:qFormat/>
    <w:pPr>
      <w:suppressLineNumbers/>
    </w:pPr>
    <w:rPr>
      <w:rFonts w:ascii="Times New Roman" w:hAnsi="Times New Roman" w:cs="FreeSans;Times New Roman"/>
    </w:rPr>
  </w:style>
  <w:style w:type="paragraph" w:styleId="12">
    <w:name w:val="Название объекта1"/>
    <w:basedOn w:val="Normal"/>
    <w:qFormat/>
    <w:pPr>
      <w:suppressLineNumbers/>
      <w:spacing w:before="120" w:after="120"/>
    </w:pPr>
    <w:rPr>
      <w:rFonts w:ascii="Times New Roman" w:hAnsi="Times New Roman" w:cs="FreeSans;Times New Roman"/>
      <w:i/>
      <w:iCs/>
      <w:sz w:val="24"/>
      <w:szCs w:val="24"/>
    </w:rPr>
  </w:style>
  <w:style w:type="paragraph" w:styleId="13">
    <w:name w:val="Указатель1"/>
    <w:basedOn w:val="Normal"/>
    <w:qFormat/>
    <w:pPr>
      <w:suppressLineNumbers/>
    </w:pPr>
    <w:rPr>
      <w:rFonts w:cs="Arial Unicode MS"/>
    </w:rPr>
  </w:style>
  <w:style w:type="paragraph" w:styleId="21">
    <w:name w:val="Название объекта2"/>
    <w:basedOn w:val="Normal"/>
    <w:qFormat/>
    <w:pPr>
      <w:suppressLineNumbers/>
      <w:spacing w:before="120" w:after="120"/>
    </w:pPr>
    <w:rPr>
      <w:rFonts w:cs="Arial Unicode MS"/>
      <w:i/>
      <w:iCs/>
      <w:sz w:val="24"/>
      <w:szCs w:val="24"/>
    </w:rPr>
  </w:style>
  <w:style w:type="paragraph" w:styleId="14">
    <w:name w:val="Заголовок1"/>
    <w:basedOn w:val="Normal"/>
    <w:next w:val="Style19"/>
    <w:qFormat/>
    <w:pPr>
      <w:keepNext w:val="true"/>
      <w:spacing w:before="240" w:after="120"/>
    </w:pPr>
    <w:rPr>
      <w:rFonts w:ascii="Times New Roman" w:hAnsi="Times New Roman" w:eastAsia="Noto Sans CJK SC Regular;Times New Roman" w:cs="FreeSans;Times New Roman"/>
      <w:sz w:val="28"/>
      <w:szCs w:val="28"/>
    </w:rPr>
  </w:style>
  <w:style w:type="paragraph" w:styleId="22">
    <w:name w:val="Указатель2"/>
    <w:basedOn w:val="Normal"/>
    <w:qFormat/>
    <w:pPr>
      <w:suppressLineNumbers/>
    </w:pPr>
    <w:rPr>
      <w:rFonts w:cs="Arial Unicode MS"/>
    </w:rPr>
  </w:style>
  <w:style w:type="paragraph" w:styleId="31">
    <w:name w:val="Название объекта3"/>
    <w:basedOn w:val="Normal"/>
    <w:qFormat/>
    <w:pPr>
      <w:suppressLineNumbers/>
      <w:spacing w:before="120" w:after="120"/>
    </w:pPr>
    <w:rPr>
      <w:rFonts w:cs="Arial Unicode MS"/>
      <w:i/>
      <w:iCs/>
      <w:sz w:val="24"/>
      <w:szCs w:val="24"/>
    </w:rPr>
  </w:style>
  <w:style w:type="paragraph" w:styleId="23">
    <w:name w:val="Заголовок2"/>
    <w:basedOn w:val="Normal"/>
    <w:next w:val="Style19"/>
    <w:qFormat/>
    <w:pPr>
      <w:keepNext w:val="true"/>
      <w:spacing w:before="240" w:after="120"/>
    </w:pPr>
    <w:rPr>
      <w:rFonts w:ascii="Liberation Sans;Arial" w:hAnsi="Liberation Sans;Arial" w:eastAsia="Microsoft YaHei" w:cs="Arial Unicode MS"/>
      <w:sz w:val="28"/>
      <w:szCs w:val="28"/>
    </w:rPr>
  </w:style>
  <w:style w:type="paragraph" w:styleId="32">
    <w:name w:val="Указатель3"/>
    <w:basedOn w:val="Normal"/>
    <w:qFormat/>
    <w:pPr>
      <w:suppressLineNumbers/>
    </w:pPr>
    <w:rPr>
      <w:rFonts w:cs="Arial"/>
    </w:rPr>
  </w:style>
  <w:style w:type="paragraph" w:styleId="Style30">
    <w:name w:val="Название объекта"/>
    <w:basedOn w:val="Normal"/>
    <w:qFormat/>
    <w:pPr>
      <w:suppressLineNumbers/>
      <w:spacing w:before="120" w:after="120"/>
    </w:pPr>
    <w:rPr>
      <w:rFonts w:cs="Arial"/>
      <w:i/>
      <w:iCs/>
      <w:sz w:val="24"/>
      <w:szCs w:val="24"/>
    </w:rPr>
  </w:style>
  <w:style w:type="paragraph" w:styleId="33">
    <w:name w:val="Заголовок3"/>
    <w:basedOn w:val="Normal"/>
    <w:next w:val="Style19"/>
    <w:qFormat/>
    <w:pPr>
      <w:keepNext w:val="true"/>
      <w:spacing w:before="240" w:after="120"/>
    </w:pPr>
    <w:rPr>
      <w:rFonts w:ascii="Liberation Sans;Arial" w:hAnsi="Liberation Sans;Arial" w:eastAsia="Microsoft YaHei" w:cs="Arial"/>
      <w:sz w:val="28"/>
      <w:szCs w:val="28"/>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9">
    <w:name w:val="Table Grid"/>
    <w:basedOn w:val="a1"/>
    <w:uiPriority w:val="39"/>
    <w:rsid w:val="003c1884"/>
    <w:rPr>
      <w:rFonts w:eastAsiaTheme="minorHAnsi"/>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LibreOffice/6.3.1.2$Windows_X86_64 LibreOffice_project/b79626edf0065ac373bd1df5c28bd630b4424273</Application>
  <Pages>5</Pages>
  <Words>570</Words>
  <Characters>3820</Characters>
  <CharactersWithSpaces>4270</CharactersWithSpaces>
  <Paragraphs>127</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2022-02-11T11:40:00Z</dcterms:created>
  <dc:creator>User</dc:creator>
  <dc:description/>
  <dc:language>uk-UA</dc:language>
  <cp:lastModifiedBy/>
  <cp:lastPrinted>2022-02-14T04:54:00Z</cp:lastPrinted>
  <dcterms:modified xsi:type="dcterms:W3CDTF">2022-02-15T14:15:26Z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