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29" w:rsidRDefault="0086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00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429" w:rsidRDefault="0060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607429" w:rsidRDefault="00861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07429" w:rsidRDefault="00861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07429" w:rsidRDefault="00607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07429" w:rsidRDefault="00607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25 березня 2022 року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65</w:t>
      </w:r>
      <w:bookmarkStart w:id="0" w:name="_GoBack"/>
      <w:bookmarkEnd w:id="0"/>
    </w:p>
    <w:p w:rsidR="00607429" w:rsidRDefault="00607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роботу відділу надання </w:t>
      </w:r>
    </w:p>
    <w:p w:rsidR="00607429" w:rsidRDefault="0086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адміністративних послуг виконавчого </w:t>
      </w:r>
    </w:p>
    <w:p w:rsidR="00607429" w:rsidRDefault="0086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за 2021 рік</w:t>
      </w:r>
    </w:p>
    <w:p w:rsidR="00607429" w:rsidRDefault="00607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pStyle w:val="1"/>
        <w:shd w:val="clear" w:color="auto" w:fill="FFFFFF"/>
        <w:spacing w:before="0" w:after="0"/>
        <w:ind w:firstLine="708"/>
        <w:jc w:val="both"/>
        <w:textAlignment w:val="baseline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</w:rPr>
        <w:t>Керуючись статтею 40, пунктом 2 частини 2 статті 52, частиною 2 статті 54 Закону України „Про місцеве самоврядування в Україні”, рішенням виконавчого комітету Решетилівської міської ради від 29.12.2021 № 382 „Про затвердження Плану роботи виконавчого коміт</w:t>
      </w:r>
      <w:r>
        <w:rPr>
          <w:b w:val="0"/>
          <w:sz w:val="28"/>
          <w:szCs w:val="28"/>
        </w:rPr>
        <w:t xml:space="preserve">ету Решетилівської міської ради на 2022 рік” та заслухавши інформацію начальника відділу </w:t>
      </w:r>
      <w:r>
        <w:rPr>
          <w:b w:val="0"/>
          <w:sz w:val="28"/>
          <w:szCs w:val="28"/>
          <w:lang w:eastAsia="ar-SA"/>
        </w:rPr>
        <w:t xml:space="preserve">надання адміністративних послуг виконавчого комітету міської ради Крамар В.В. про роботу відділу за 2021 рік, </w:t>
      </w:r>
      <w:r>
        <w:rPr>
          <w:b w:val="0"/>
          <w:sz w:val="28"/>
          <w:szCs w:val="28"/>
        </w:rPr>
        <w:t>виконавчий комітет Решетилівської міської ради</w:t>
      </w:r>
    </w:p>
    <w:p w:rsidR="00607429" w:rsidRDefault="0086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07429" w:rsidRDefault="00607429">
      <w:pPr>
        <w:tabs>
          <w:tab w:val="left" w:pos="675"/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Інформацію начальника відділу надання адміністративних послуг виконавчого комітету міської ради Крамар В.В. про роботу відділу за 2021 рік взяти до відома (додається).</w:t>
      </w:r>
    </w:p>
    <w:p w:rsidR="00607429" w:rsidRDefault="00607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О.А.Дядюнова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29" w:rsidRDefault="0086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lastRenderedPageBreak/>
        <w:t>Інформація</w:t>
      </w:r>
    </w:p>
    <w:p w:rsidR="00607429" w:rsidRDefault="0086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про роботу відділу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надання адміністративних послуг виконавчого комітету міської ради  за 2021 рік</w:t>
      </w:r>
    </w:p>
    <w:p w:rsidR="00607429" w:rsidRDefault="00607429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07429" w:rsidRDefault="0086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ab/>
        <w:t xml:space="preserve">Робота відділу надання адміністративних послуг протягом 2021 року проводилася відповідно до завдань, визначених у положенні про відділ, затвердженого рішенням Решетилівської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>міської ради від 27.06.2018 № 307-8-VII.</w:t>
      </w:r>
    </w:p>
    <w:p w:rsidR="00607429" w:rsidRDefault="008617FE">
      <w:pPr>
        <w:shd w:val="clear" w:color="auto" w:fill="FFFFFF"/>
        <w:tabs>
          <w:tab w:val="left" w:pos="675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Завданнями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>відділу надання адміністративних послуг</w:t>
      </w:r>
      <w:r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607429" w:rsidRDefault="008617FE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організація та надання адміністративних послуг у найкоротший строк та за мінімальної кількості відвідувань суб’єктів звернень;</w:t>
      </w:r>
    </w:p>
    <w:p w:rsidR="00607429" w:rsidRDefault="008617FE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спрощення процедури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отримання адміністративних послуг;</w:t>
      </w:r>
    </w:p>
    <w:p w:rsidR="00607429" w:rsidRDefault="008617FE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забезпечення інформування суб’єктів звернень про вимоги та порядок надання адміністративних послуг ЦНАП;</w:t>
      </w:r>
    </w:p>
    <w:p w:rsidR="00607429" w:rsidRDefault="008617FE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 проведення моніторингу якості надання адміністративних послуг відповідно до частини 4 статті 7 Закону України </w:t>
      </w:r>
      <w:r>
        <w:rPr>
          <w:rFonts w:ascii="Times New Roman" w:hAnsi="Times New Roman" w:cs="Times New Roman"/>
          <w:sz w:val="28"/>
          <w:szCs w:val="28"/>
          <w:lang w:eastAsia="ru-RU"/>
        </w:rPr>
        <w:t>"Про адміністративні послуги", визначення та вжиття заходів щодо підвищення рівня якості їх надання, оприлюднення інформації про результати моніторингу та вжиті заходи;</w:t>
      </w:r>
    </w:p>
    <w:p w:rsidR="00607429" w:rsidRDefault="008617FE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 забезпечення процесу автоматизації прийому документів і надання адміністративних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луг шляхом використання інформаційних систем та систем електронного документообігу.</w:t>
      </w:r>
    </w:p>
    <w:p w:rsidR="00607429" w:rsidRDefault="008617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Протягом 2021 року через Центр було надано 34322 послуг.</w:t>
      </w:r>
    </w:p>
    <w:p w:rsidR="00607429" w:rsidRDefault="008617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Протягом 2021 року в Центрі: </w:t>
      </w:r>
    </w:p>
    <w:p w:rsidR="00607429" w:rsidRDefault="008617F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надано адміністраторами Центру консультації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суб’єктам, які надаються не лише при 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истому зверненні громадян, а й за допомогою телефону гарячої лінії. Найчастіше консультування ведеться з питань оформлення соціальних допомог, субсидій, реєстрації/зняття з реєстрації місця проживання, реєстрації нерухомого майна (земельних ділянок, кварти</w:t>
      </w:r>
      <w:r>
        <w:rPr>
          <w:rFonts w:ascii="Times New Roman" w:hAnsi="Times New Roman" w:cs="Times New Roman"/>
          <w:sz w:val="28"/>
          <w:szCs w:val="28"/>
          <w:lang w:eastAsia="ru-RU"/>
        </w:rPr>
        <w:t>р, будинків) та бізнесу.</w:t>
      </w:r>
    </w:p>
    <w:p w:rsidR="00607429" w:rsidRDefault="008617F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надано послуг в електронному вигляді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(витяг з ДЗК) </w:t>
      </w:r>
    </w:p>
    <w:p w:rsidR="00607429" w:rsidRDefault="008617F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виконано заявок та видано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–34322 результатів послуг, особам, які звернулись за адміністративною послугою;</w:t>
      </w:r>
    </w:p>
    <w:p w:rsidR="00607429" w:rsidRDefault="008617F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відмовлено 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наданні послуг за 40 зверненнями, суб’єктами надання адмініс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тративних послуг, Про можливість отримання негативної відповіді адміністратори Центру попереджають заявника письмово заздалегідь. </w:t>
      </w:r>
    </w:p>
    <w:p w:rsidR="00607429" w:rsidRDefault="008617FE">
      <w:pPr>
        <w:shd w:val="clear" w:color="auto" w:fill="FFFFFF"/>
        <w:spacing w:after="0" w:line="240" w:lineRule="auto"/>
        <w:ind w:left="15" w:firstLine="4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Всі послуги надані вчасно, без порушень, це пояснюється насамперед тим, що суб’єкти надання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адмінпослуг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мають більше часу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опрацювання пакету документів, оскільки не здійснюють прийом громадян по даних питаннях.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звітному періоді за платні послуги, з яких стягується адміністративний збір, до місцевого бюджету громади надійшло коштів на суму 1343318,79тис. грн.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Великим попитом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серед населення нашої громади у 2021 року користувались послуги:</w:t>
      </w:r>
    </w:p>
    <w:p w:rsidR="00607429" w:rsidRDefault="008617F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реєстрації місця проживання особи та видачі довідок про реєстрацію місця проживання – 4600 послуг, </w:t>
      </w:r>
    </w:p>
    <w:p w:rsidR="00607429" w:rsidRDefault="008617F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реєстрації речових та майнових прав надано 6909 послуг, </w:t>
      </w:r>
    </w:p>
    <w:p w:rsidR="00607429" w:rsidRDefault="008617F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реєстрації фізичних та юридичних осіб – 1409, </w:t>
      </w:r>
    </w:p>
    <w:p w:rsidR="00607429" w:rsidRDefault="008617F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видачі відомостей з Державного земельного кадастру – 5188, </w:t>
      </w:r>
    </w:p>
    <w:p w:rsidR="00607429" w:rsidRDefault="008617F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оформлення соціальних допомог населенню, оформлення субсидій – 1513 та видача талонів на пільговий проїзд окремим категоріям населення 5628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07429" w:rsidRDefault="008617F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довідок про склад сім’ї – 9498, </w:t>
      </w:r>
    </w:p>
    <w:p w:rsidR="00607429" w:rsidRDefault="008617F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 на акти обстеження умов проживання 615.</w:t>
      </w:r>
    </w:p>
    <w:p w:rsidR="00607429" w:rsidRDefault="008617FE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Відповідно до внесення змін до Закону України «Про Єдиний державний демографічний реєстр та документи, що підтверджують громадянство України, посвідчують особу чи її спеціальн</w:t>
      </w:r>
      <w:r>
        <w:rPr>
          <w:b w:val="0"/>
          <w:sz w:val="28"/>
          <w:szCs w:val="28"/>
        </w:rPr>
        <w:t>ий статус» від 30.03.2021 року, відділ надання адміністративних послуг виконавчого комітету підключений до Дії.</w:t>
      </w:r>
      <w:r>
        <w:rPr>
          <w:b w:val="0"/>
          <w:sz w:val="28"/>
          <w:szCs w:val="28"/>
          <w:lang w:val="en-US"/>
        </w:rPr>
        <w:t>QR</w:t>
      </w:r>
      <w:r>
        <w:rPr>
          <w:b w:val="0"/>
          <w:sz w:val="28"/>
          <w:szCs w:val="28"/>
        </w:rPr>
        <w:t>, та приймає копії цифрових документів, що дозволяє покращити прийом громадян.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Постійно ведеться активна робота над запровадженням можливості надавати через Центр максимальної кількості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адмінпослуг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 в першу чергу послуг соціального характеру. Рішенням сесії Решетилівської міської ради у квітня 2021 року було збільшено перелік послуг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які надаються через Центр (146 послуги). До переліку послуг в основному додались послуги соціального характеру (більше 60). У 2 кварталі 2021 року такі послуги надаються у повному обсязі. До переліку послуг додані: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призначення та виплата одноразової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компенсації:- сім'ям, які втратили годувальника із числа осіб, віднесених до учасників ліквідації наслідків аварії на Чорнобильській АЕС, та смерть яких пов'язана з Чорнобильською катастрофою;- дружинам (чоловікам), якщо та (той) не одружилися вдруге, поме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рлих громадян, смерть яких пов'язана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робіт;- батькам померлого учасника ліквідації наслідків аварії на Чорнобильській АЕС, смерть якого пов'язана з Чорнобильською катастрофою;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призначення грошової компенсації вартості проїзду до санаторно- курортного закладу і назад інвалідам війни 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прирівняним до них особам;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призначення грошової компенсації особам з інвалідністю замість санаторно-курортної путівки та вартості самостійного санаторно-курортного лікування осіб з інвалідністю 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призначення грошової компенсації вартості проїзду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санаторно- курортного закладу (відділення спінального профілю) і назад особам, які супроводжують інвалідів І та II групи з наслідками травм і захворюваннями хребта та спинного мозку;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призначення грошової компенсації замість санаторно-курортної путівки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громадянам, які постраждали внаслідок Чорнобильської катастрофи;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6) призначення грошової компенсації інвалідам на бензин, ремонт і технічне обслуговування автомобілів та на транспортне обслуговування;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призначення компенсації і допомоги батькам багато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дітної сім’ї та дитини з багатодітної сім’ї;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призначення компенсації і допомоги особам, які постраждали внаслідок Чорнобильської катастрофи (відповідно до визначених категорій);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надання субсидії для відшкодування витрат на оплату житлово- комунальн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послуг, придбання скрапленого газу, твердого та рідкого пічного побутового палива;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10) надання пільги на придбання твердого та рідкого пічного палива і скрапленого газу. 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  послідовно  змінює підхід до обслуговування громадян, тому для зручності о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тримання адміністративних послуг мешканцями віддалених сіл у 2021 році здійснюється прийом громадян діловодами старостатів з питань оформлення допомог та субсидій соціального характеру, які раніше можна було оформити лише в районному центрі.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зважаючи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карантин, постійно проводяться навчання суб’єктами надання адміністративних послуг з адміністраторами щодо підвищення рівня обізнаності у сфері надання адміністративних послуг , знайомство зі змінами у законодавстві, актуальними питаннями, які виникають п</w:t>
      </w:r>
      <w:r>
        <w:rPr>
          <w:rFonts w:ascii="Times New Roman" w:hAnsi="Times New Roman" w:cs="Times New Roman"/>
          <w:sz w:val="28"/>
          <w:szCs w:val="28"/>
          <w:lang w:eastAsia="ru-RU"/>
        </w:rPr>
        <w:t>ід час прийому громадян. Таких навчань було проведено 12.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Постійне вивчення думки громадян є одним із важливих індикаторів якості роботи Центру та дозволяє забезпечити зворотній зв'язок із громадськістю, показує сильні та слабкі сторони діяльності, та вияв</w:t>
      </w:r>
      <w:r>
        <w:rPr>
          <w:rFonts w:ascii="Times New Roman" w:hAnsi="Times New Roman" w:cs="Times New Roman"/>
          <w:sz w:val="28"/>
          <w:szCs w:val="28"/>
          <w:lang w:eastAsia="ru-RU"/>
        </w:rPr>
        <w:t>ляє суспільні очікування щодо роботи виконавчих органів на основі загально прийнятих критеріїв.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Отже, робота Центру спрямована не лише на прийом пакету документів від суб’єктів звернень, а й на підвищення якості їх надання, підвищення рівня задоволеності з</w:t>
      </w:r>
      <w:r>
        <w:rPr>
          <w:rFonts w:ascii="Times New Roman" w:hAnsi="Times New Roman" w:cs="Times New Roman"/>
          <w:sz w:val="28"/>
          <w:szCs w:val="28"/>
          <w:lang w:eastAsia="ru-RU"/>
        </w:rPr>
        <w:t>аявників під час перебування у Центрі.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Вся робота в Центрі спрямована на якісне обслуговування населення за якомога коротший термін без порушення законодавства. Центр постійно удосконалює свою роботу, розширює спектр послуг, забезпечує комфортне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перебування відвідувачів та високу якість обслуговування.</w:t>
      </w:r>
    </w:p>
    <w:p w:rsidR="00607429" w:rsidRDefault="008617F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Центрі реалізуються принципи одержання населенням широкого спектру інформації, отримання кваліфікованої консультації, надання необхідної послуги в одному місці, ввічливе ставлення до кожної людини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розуміння проблем відвідувачів та прагнення максимально швидко знайти їх рішення. Крок за кроком ми намагаємось будувати сучасний, європейський сервісний ЦНАП, орієнтований на потреби громадян.</w:t>
      </w:r>
    </w:p>
    <w:p w:rsidR="00607429" w:rsidRDefault="0060742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429" w:rsidRDefault="0060742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429" w:rsidRDefault="0060742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429" w:rsidRDefault="0060742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429" w:rsidRDefault="0060742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429" w:rsidRDefault="008617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відділ надання </w:t>
      </w:r>
    </w:p>
    <w:p w:rsidR="00607429" w:rsidRDefault="008617F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адміністративних послуг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В.В. Крамар</w:t>
      </w:r>
    </w:p>
    <w:sectPr w:rsidR="0060742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3E7"/>
    <w:multiLevelType w:val="multilevel"/>
    <w:tmpl w:val="7D98CF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726C5F"/>
    <w:multiLevelType w:val="multilevel"/>
    <w:tmpl w:val="6C0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9BF11C7"/>
    <w:multiLevelType w:val="multilevel"/>
    <w:tmpl w:val="84E6D40A"/>
    <w:lvl w:ilvl="0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7429"/>
    <w:rsid w:val="00607429"/>
    <w:rsid w:val="008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7"/>
    <w:pPr>
      <w:suppressAutoHyphens/>
      <w:spacing w:after="200" w:line="276" w:lineRule="auto"/>
    </w:pPr>
    <w:rPr>
      <w:rFonts w:eastAsia="Times New Roman" w:cs="Calibri"/>
      <w:sz w:val="22"/>
      <w:lang w:eastAsia="zh-CN"/>
    </w:rPr>
  </w:style>
  <w:style w:type="paragraph" w:styleId="1">
    <w:name w:val="heading 1"/>
    <w:basedOn w:val="a"/>
    <w:next w:val="a0"/>
    <w:link w:val="10"/>
    <w:qFormat/>
    <w:rsid w:val="00EB2AD7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B2AD7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EB2AD7"/>
    <w:rPr>
      <w:rFonts w:ascii="Calibri" w:eastAsia="Times New Roman" w:hAnsi="Calibri" w:cs="Calibri"/>
      <w:lang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EB2AD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EB2AD7"/>
    <w:pPr>
      <w:spacing w:after="120"/>
    </w:pPr>
  </w:style>
  <w:style w:type="paragraph" w:styleId="a7">
    <w:name w:val="List"/>
    <w:basedOn w:val="a0"/>
    <w:rsid w:val="0088708B"/>
    <w:rPr>
      <w:rFonts w:cs="Arial Unicode MS"/>
    </w:rPr>
  </w:style>
  <w:style w:type="paragraph" w:styleId="a8">
    <w:name w:val="caption"/>
    <w:basedOn w:val="a"/>
    <w:qFormat/>
    <w:rsid w:val="0088708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0"/>
    <w:qFormat/>
    <w:rsid w:val="0088708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index heading"/>
    <w:basedOn w:val="a"/>
    <w:qFormat/>
    <w:rsid w:val="0088708B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qFormat/>
    <w:rsid w:val="00EB2A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8708B"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6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5449</Words>
  <Characters>3106</Characters>
  <Application>Microsoft Office Word</Application>
  <DocSecurity>0</DocSecurity>
  <Lines>25</Lines>
  <Paragraphs>17</Paragraphs>
  <ScaleCrop>false</ScaleCrop>
  <Company>SPecialiST RePack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dc:description/>
  <cp:lastModifiedBy>Юля</cp:lastModifiedBy>
  <cp:revision>11</cp:revision>
  <cp:lastPrinted>2022-03-10T10:42:00Z</cp:lastPrinted>
  <dcterms:created xsi:type="dcterms:W3CDTF">2022-03-22T12:37:00Z</dcterms:created>
  <dcterms:modified xsi:type="dcterms:W3CDTF">2022-03-29T06:36:00Z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