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firstLine="5046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ЗАТВЕРДЖЕНО</w:t>
      </w:r>
    </w:p>
    <w:p>
      <w:pPr>
        <w:pStyle w:val="Normal"/>
        <w:widowControl/>
        <w:bidi w:val="0"/>
        <w:spacing w:lineRule="auto" w:line="240" w:before="0" w:after="0"/>
        <w:ind w:left="0" w:right="0" w:firstLine="5046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Рішення Решетилівської міської</w:t>
      </w:r>
    </w:p>
    <w:p>
      <w:pPr>
        <w:pStyle w:val="Normal"/>
        <w:widowControl/>
        <w:bidi w:val="0"/>
        <w:spacing w:lineRule="auto" w:line="240" w:before="0" w:after="0"/>
        <w:ind w:left="0" w:right="0" w:firstLine="5046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ради восьмого скликання</w:t>
      </w:r>
    </w:p>
    <w:p>
      <w:pPr>
        <w:pStyle w:val="Normal"/>
        <w:widowControl/>
        <w:bidi w:val="0"/>
        <w:spacing w:lineRule="auto" w:line="240" w:before="0" w:after="0"/>
        <w:ind w:left="0" w:right="0" w:firstLine="5046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29 квітня 2022 року №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1033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-21-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VI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І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</w:t>
      </w:r>
    </w:p>
    <w:p>
      <w:pPr>
        <w:pStyle w:val="Normal"/>
        <w:widowControl/>
        <w:bidi w:val="0"/>
        <w:spacing w:lineRule="auto" w:line="240" w:before="0" w:after="0"/>
        <w:ind w:left="0" w:right="0" w:firstLine="5046"/>
        <w:jc w:val="left"/>
        <w:rPr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21 сесія)</w:t>
      </w:r>
    </w:p>
    <w:p>
      <w:pPr>
        <w:pStyle w:val="Normal"/>
        <w:ind w:right="423" w:hanging="0"/>
        <w:jc w:val="center"/>
        <w:rPr/>
      </w:pPr>
      <w:r>
        <w:rPr/>
      </w:r>
    </w:p>
    <w:p>
      <w:pPr>
        <w:pStyle w:val="Normal"/>
        <w:ind w:right="423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Фінансовий план підприємства на 2022рік</w:t>
      </w:r>
    </w:p>
    <w:tbl>
      <w:tblPr>
        <w:tblW w:w="98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08"/>
        <w:gridCol w:w="3972"/>
        <w:gridCol w:w="1418"/>
        <w:gridCol w:w="2082"/>
      </w:tblGrid>
      <w:tr>
        <w:trPr>
          <w:trHeight w:val="644" w:hRule="atLeast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Комунальне некомерційне  підприємство "Центр первинної медико-санітарної допомоги Решетилівської міської ради Полтавської області"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Коди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ЕДРПОУ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38534915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Охорона  здоров’я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1006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Загальна медична практика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ЗКНГ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38400 Полтавська область м. Решетилівка вул. Грушевського 76в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86.21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(05363)2-12-32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Наталія Лугова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>
          <w:trHeight w:val="310" w:hRule="atLeast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одиниця виміру: тис. гривень</w:t>
      </w:r>
    </w:p>
    <w:tbl>
      <w:tblPr>
        <w:tblW w:w="9999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59"/>
        <w:gridCol w:w="1018"/>
        <w:gridCol w:w="1235"/>
        <w:gridCol w:w="996"/>
        <w:gridCol w:w="996"/>
        <w:gridCol w:w="996"/>
        <w:gridCol w:w="998"/>
      </w:tblGrid>
      <w:tr>
        <w:trPr>
          <w:tblHeader w:val="true"/>
        </w:trPr>
        <w:tc>
          <w:tcPr>
            <w:tcW w:w="3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Плановий рік, усього</w:t>
            </w:r>
          </w:p>
        </w:tc>
        <w:tc>
          <w:tcPr>
            <w:tcW w:w="39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3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>
        <w:trPr>
          <w:tblHeader w:val="true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І. Фінансові результати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73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7471,8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4418,6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4418,6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4418,6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9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Акцизний збір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7471,8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4418,6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4418,6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4418,6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856.8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4164,9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655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4136,4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3142.8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1478,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505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271.2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887,9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9983,0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2105,0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2669,0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2660,0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2549,0</w:t>
            </w:r>
          </w:p>
        </w:tc>
      </w:tr>
      <w:tr>
        <w:trPr>
          <w:trHeight w:val="413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2175,0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587,0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585,0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561,0</w:t>
            </w:r>
          </w:p>
        </w:tc>
      </w:tr>
      <w:tr>
        <w:trPr>
          <w:trHeight w:val="420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Валовий: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6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1,3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1,3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з 091 по 095)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95.8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959,2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1054,6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val="uk-UA"/>
              </w:rPr>
            </w:r>
          </w:p>
        </w:tc>
      </w:tr>
      <w:tr>
        <w:trPr>
          <w:trHeight w:val="43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112,2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91,6</w:t>
            </w:r>
          </w:p>
        </w:tc>
      </w:tr>
      <w:tr>
        <w:trPr>
          <w:trHeight w:val="416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3026,0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672,0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797,0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795,0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762,0</w:t>
            </w:r>
          </w:p>
        </w:tc>
      </w:tr>
      <w:tr>
        <w:trPr>
          <w:trHeight w:val="422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141,0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175,0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167,0</w:t>
            </w:r>
          </w:p>
        </w:tc>
      </w:tr>
      <w:tr>
        <w:trPr>
          <w:trHeight w:val="399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34,0</w:t>
            </w:r>
          </w:p>
        </w:tc>
      </w:tr>
      <w:tr>
        <w:trPr>
          <w:trHeight w:val="419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475.4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906,7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534.9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262.7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771,1</w:t>
            </w:r>
          </w:p>
        </w:tc>
      </w:tr>
      <w:tr>
        <w:trPr>
          <w:trHeight w:val="42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0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5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3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17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ІІ. Елементи операційних витрат  (разом)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418.6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553.8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94.4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979,5</w:t>
            </w:r>
          </w:p>
        </w:tc>
      </w:tr>
      <w:tr>
        <w:trPr>
          <w:trHeight w:val="421" w:hRule="atLeast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13009,0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2777,0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3466,0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3455,0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3311,0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2833,0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583,0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760,0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728,0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680,0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 (сума рядків з 310 по 350)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19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952.6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5124,1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954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682.7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5191,0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ІІІ. Капітальні інвестиції протягом року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Разом(сума рядків 410,420, 430, 440, 450):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411, 421, 431, 441, 451)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88,0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27415,4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27415,4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27415,4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27415,4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27415,4</w:t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Директор                                            ___________</w:t>
        <w:tab/>
        <w:t>Наталія ЛУГОВА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Головний бухгалтер                         ___________</w:t>
        <w:tab/>
        <w:t>Світлана СРІБНА</w:t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М. П.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                  </w:t>
      </w:r>
    </w:p>
    <w:sectPr>
      <w:type w:val="nextPage"/>
      <w:pgSz w:w="11906" w:h="16838"/>
      <w:pgMar w:left="1701" w:right="560" w:header="0" w:top="567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6f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82f48"/>
    <w:rPr>
      <w:color w:val="808080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f82f48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4d1cb1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rsid w:val="004d1cb1"/>
    <w:pPr>
      <w:spacing w:before="0" w:after="140"/>
    </w:pPr>
    <w:rPr/>
  </w:style>
  <w:style w:type="paragraph" w:styleId="Style17">
    <w:name w:val="List"/>
    <w:basedOn w:val="Style16"/>
    <w:rsid w:val="004d1cb1"/>
    <w:pPr/>
    <w:rPr>
      <w:rFonts w:cs="Arial Unicode MS"/>
    </w:rPr>
  </w:style>
  <w:style w:type="paragraph" w:styleId="Style18" w:customStyle="1">
    <w:name w:val="Caption"/>
    <w:basedOn w:val="Normal"/>
    <w:qFormat/>
    <w:rsid w:val="004d1cb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4d1cb1"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f82f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537F-465D-4C1B-B9DD-8822F4E8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LibreOffice/6.3.1.2$Windows_X86_64 LibreOffice_project/b79626edf0065ac373bd1df5c28bd630b4424273</Application>
  <Pages>4</Pages>
  <Words>601</Words>
  <Characters>3640</Characters>
  <CharactersWithSpaces>4047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2022-04-22T07:09:00Z</dcterms:created>
  <dc:creator>Ирина</dc:creator>
  <dc:description/>
  <dc:language>uk-UA</dc:language>
  <cp:lastModifiedBy/>
  <cp:lastPrinted>2022-04-06T12:32:00Z</cp:lastPrinted>
  <dcterms:modified xsi:type="dcterms:W3CDTF">2022-04-29T14:41:23Z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