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-563880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ПОЛТАВСЬКОЇ ОБЛАСТІ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РОЗПОРЯДЖЕННЯ</w:t>
      </w:r>
    </w:p>
    <w:p>
      <w:pPr>
        <w:pStyle w:val="Normal"/>
        <w:tabs>
          <w:tab w:val="left" w:pos="244" w:leader="none"/>
        </w:tabs>
        <w:spacing w:lineRule="auto" w:line="240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червня 2022 року</w:t>
        <w:tab/>
        <w:tab/>
        <w:tab/>
        <w:tab/>
        <w:tab/>
        <w:tab/>
        <w:tab/>
        <w:tab/>
        <w:tab/>
        <w:t xml:space="preserve"> 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№ 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109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547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Про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затвердження Параметрів шкільного громадського бюджету </w:t>
      </w:r>
      <w:r>
        <w:rPr>
          <w:rFonts w:cs="Times New Roman" w:ascii="Times New Roman" w:hAnsi="Times New Roman"/>
          <w:sz w:val="28"/>
          <w:szCs w:val="28"/>
        </w:rPr>
        <w:t xml:space="preserve"> Решетилівської міської ради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2022 рік</w:t>
      </w:r>
    </w:p>
    <w:p>
      <w:pPr>
        <w:pStyle w:val="Normal"/>
        <w:spacing w:lineRule="auto" w:line="240"/>
        <w:ind w:right="54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Керуючись законами України ,,Про місцеве самоврядування в Україні”,  ,,Про освіту”, ,,Про повну загальну середню освіту”,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Меморандумом про співпрацю між  ГО ,,Розвиток громадянських компетентностей в Україні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”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та Решетилівською міською радою щодо впровадження швейцарсько-українського проекту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DESIDE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,,Децентралізація для розвитку демократичної освіти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”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, Положенням про шкільний громадський бюджет Решетилівської міської ради, затвердженим рішенням Решетилівської міської ради від 26.01.2022 № 986-18-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VIII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зі змінами від 30.06.2022 № 1072-23-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VIII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) та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з метою налагодження взаємодії органів місцевого самоврядування з учнівською громадськістю, створення умов для участі дітей та учнівської молоді у розвитку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закладів освіти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територіальної громади,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60" w:leader="none"/>
          <w:tab w:val="left" w:pos="1020" w:leader="none"/>
        </w:tabs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Затвердити </w:t>
      </w:r>
      <w:r>
        <w:rPr>
          <w:rFonts w:eastAsia="Times New Roman" w:cs="Times New Roman" w:ascii="Times New Roman" w:hAnsi="Times New Roman"/>
          <w:sz w:val="28"/>
          <w:szCs w:val="28"/>
        </w:rPr>
        <w:t>Параметри шкільного громадського бюджету Решетилівської міської ради на 2022 рік (додається).</w:t>
      </w:r>
    </w:p>
    <w:p>
      <w:pPr>
        <w:pStyle w:val="ListParagraph"/>
        <w:spacing w:lineRule="auto" w:line="240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>. Контроль за виконанням даного розпорядження покласти на начальника відділу освіти Решетилівської міської ради Костогриз А.М.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>О.А.Дядюнова</w:t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4956" w:right="-55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/>
        <w:ind w:left="4956" w:right="-55"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/>
        <w:ind w:left="5664" w:right="-5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/>
        <w:ind w:left="4956" w:right="-55" w:firstLine="708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30 червня </w:t>
      </w:r>
      <w:r>
        <w:rPr>
          <w:rFonts w:cs="Times New Roman" w:ascii="Times New Roman" w:hAnsi="Times New Roman"/>
          <w:sz w:val="28"/>
          <w:szCs w:val="28"/>
        </w:rPr>
        <w:t xml:space="preserve">2022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року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109</w:t>
      </w:r>
    </w:p>
    <w:p>
      <w:pPr>
        <w:pStyle w:val="Normal"/>
        <w:spacing w:lineRule="auto" w:line="24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Параметри 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шкільного громадського бюджету 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Решетилівської міської ради на 2022 рік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020" w:leader="none"/>
        </w:tabs>
        <w:bidi w:val="0"/>
        <w:spacing w:lineRule="auto" w:line="24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Загальний бюджет Конкурсу шкільних громадських проєктів на плановий рік згідно з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</w:t>
      </w:r>
      <w:r>
        <w:rPr>
          <w:rFonts w:eastAsia="Times New Roman" w:cs="Times New Roman" w:ascii="Times New Roman" w:hAnsi="Times New Roman"/>
          <w:sz w:val="28"/>
          <w:szCs w:val="28"/>
        </w:rPr>
        <w:t>ішенням Решетилівської міської ради від 26 січня 2022 року 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987-18-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VIII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eastAsia="Times New Roman" w:cs="Times New Roman" w:ascii="Times New Roman" w:hAnsi="Times New Roman"/>
          <w:sz w:val="28"/>
          <w:szCs w:val="28"/>
        </w:rPr>
        <w:t>становить 785 000 (сімсот вісімдесят п’ять тисяч) грн., з яких кошти гранту, що надається відповідно до укладеного Меморандуму в  межах Швейцарсько-українського проєкту DECIDE - „Децентралізація для розвитку демократичної освіти” – 550000,00 (п’ятсот п'ятдесят тисяч) грн., співфінансування з місцевого бюджету - 235000,00 (двісті тридцять п’ять тисяч)  грн.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Модель проведення конкурсу: розподіл загального бюджету конкурсу шкільних громадських проєктів між ЗЗСО конкретними сумами коштів: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Демидівський заклад загальної середньої освіти І-ІІІ ступенів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51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-Калениківський заклад загальної середньої освіти І-ІІІ ступенів Решетилівської міської ради -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учнів та учениць - 45 000 (сорок п’ять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Малобакайський  заклад загальної середньої освіти І-ІІІ ступенів Решетилівської міської ради  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учнів та учениць - 45 000 (сорок п’ять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Опорний заклад ,,Решетилівський ліцей ім. І.Л. Олійника Решетилівської міської ради”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752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учнів та учениць - 270 000 (двісті сімдесят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Остап’євський заклад загальної середньої освіти І-ІІІ ступенів Решетилівської міської ради 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 30 000 (тридцять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Покровський опорний заклад загальної середньої освіти І-ІІІ ступенів Решетилівської міської ради 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187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учнів та учениць -  95 000 (дев’яносто п’ять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Піщанський заклад загальної середньої освіти І-ІІІ ступенів  ім. Л.М. Дудки Решетилівської міської ради  -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96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учнів та учениць -  45 000 (сорок п’ять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Шевченківський  заклад загальної середньої освіти І-ІІІ ступенів ім. академіка В.О. Пащенка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93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  45 000 (сорок п’ять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Глибокобалківський заклад загальної середньої освіти І-ІІ ступенів з дошкільним  підрозділом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45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Кукобівська філія І-ІІ ступенів з дошкільним  підрозділом Покровського опорного закладу загальної середньої освіти І-ІІІ ступенів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М’якеньківський заклад загальної середньої освіти І-ІІ ступенів з дошкільним підрозділом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гривень;</w:t>
      </w:r>
    </w:p>
    <w:p>
      <w:pPr>
        <w:pStyle w:val="Normal"/>
        <w:spacing w:lineRule="auto" w:line="240"/>
        <w:ind w:firstLine="709"/>
        <w:jc w:val="both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- Новомихайлівський заклад загальної середньої освіти І-ІІ ступенів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276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Потічанська філія І-ІІ ступенів з дошкільним підрозділом Опорного закладу ,,Решетилівський ліцей ім. І.Л. Олійника Решетилівської міської ради”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102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Федіївська філія І-ІІ ступенів Покровського опорного закладу загальної середньої освіти І-ІІІ ступенів Решетилівської міської ради -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учень та учениця - 30 000 (тридцять тисяч) гривень.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Мінімальна кількість команд проєктів в кожному ЗЗСО: 2 команди проєктів, крім Опорний заклад ,,Решетилівський ліцей ім. І.Л. Олійника Решетилівської міської ради” - 5 команд проєктів (якщо є поділ на 3 проєкти в цьому ЗЗСО). Загальна кількість поданих проєктних заявок реалізація, яких планується в конкретному ЗЗСО має перевищувати кількість потенційних проєктів-переможців в даному ЗЗСО.   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Максимальна вартість одного Проєкту: дорівнює сумі коштів, виділеній на конкретний ЗЗСО (Опорний заклад ,,Решетилівський ліцей ім. І.Л. Олійника Решетилівської міської ради” - 3 проєкти по 90 000 (дев’яносто тисяч) гривень)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Кількість поданих проєктних заявок однією командою: 1 (одна).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Кількість голосів у кожного жителя громади: 3 (три).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Категорії проєктів: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Створення нового освітнього простору в школі та громаді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Фізична культура, спорт, здоров’я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Культура та мистецтво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Історія громади/рідного краю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Інноваційні технології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Екологія та захист навколишнього середовища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Рівні права - рівні можливості</w:t>
      </w:r>
    </w:p>
    <w:p>
      <w:pPr>
        <w:pStyle w:val="Normal"/>
        <w:numPr>
          <w:ilvl w:val="0"/>
          <w:numId w:val="4"/>
        </w:numPr>
        <w:tabs>
          <w:tab w:val="left" w:pos="1020" w:leader="none"/>
        </w:tabs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Наука та просвіта</w:t>
      </w:r>
    </w:p>
    <w:p>
      <w:pPr>
        <w:pStyle w:val="Normal"/>
        <w:numPr>
          <w:ilvl w:val="0"/>
          <w:numId w:val="3"/>
        </w:numPr>
        <w:tabs>
          <w:tab w:val="left" w:pos="1020" w:leader="none"/>
          <w:tab w:val="left" w:pos="108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Терміни початку й завершення прийому проєктних заявок – 01 лютого - 01 березня та додатково 11 - 17 липня 2022 року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3"/>
        </w:numPr>
        <w:tabs>
          <w:tab w:val="left" w:pos="102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Терміни проведення аналізу поданих проєктних заявок та їх доопрацювання командами – 18 липня - 19 серпня 2022 року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Терміни початку і завершення голосування за проєкти – 05 - 19 вересня  2022 року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3"/>
        </w:numPr>
        <w:tabs>
          <w:tab w:val="left" w:pos="1185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Термін визначення проєктів-переможців – до 30 вересня 2022 року.</w:t>
      </w:r>
    </w:p>
    <w:p>
      <w:pPr>
        <w:pStyle w:val="Normal"/>
        <w:numPr>
          <w:ilvl w:val="0"/>
          <w:numId w:val="3"/>
        </w:numPr>
        <w:tabs>
          <w:tab w:val="left" w:pos="1185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Роз’яснення категорій проєктів -  додаток  до Параметрів шкільного громадського бюджету.</w:t>
      </w:r>
    </w:p>
    <w:p>
      <w:pPr>
        <w:pStyle w:val="Normal"/>
        <w:numPr>
          <w:ilvl w:val="0"/>
          <w:numId w:val="3"/>
        </w:numPr>
        <w:tabs>
          <w:tab w:val="left" w:pos="1185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Прогнозний обсяг загального бюджету конкурсу шкільних громадських проєктів на наступні за плановим роки: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2023 - 500 тис.грн.;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2024 - 500 тис. грн.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0" w:leader="none"/>
        </w:tabs>
        <w:spacing w:lineRule="auto" w:line="240"/>
        <w:ind w:left="3905" w:firstLine="348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tabs>
          <w:tab w:val="left" w:pos="5670" w:leader="none"/>
        </w:tabs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до Параметрів шкільного </w:t>
      </w:r>
    </w:p>
    <w:p>
      <w:pPr>
        <w:pStyle w:val="Normal"/>
        <w:tabs>
          <w:tab w:val="left" w:pos="5670" w:leader="none"/>
        </w:tabs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громадського бюджету</w:t>
      </w:r>
    </w:p>
    <w:p>
      <w:pPr>
        <w:pStyle w:val="Normal"/>
        <w:tabs>
          <w:tab w:val="left" w:pos="5670" w:leader="none"/>
        </w:tabs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Решетилівської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міської ради</w:t>
      </w:r>
    </w:p>
    <w:p>
      <w:pPr>
        <w:pStyle w:val="Normal"/>
        <w:tabs>
          <w:tab w:val="left" w:pos="5670" w:leader="none"/>
        </w:tabs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на 2022 рік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Роз’яснення до категорій Проєктів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Створення нового освітнього простору в школі та громаді: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коворкінг (наприклад, для популяризації робітничих професій, STEM-освіти, шкільного соціального підприємництва тощо), молодіжні центри/хаби, зони дозвілля.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Фізична культура, спорт, здоров’я: </w:t>
      </w:r>
      <w:r>
        <w:rPr>
          <w:rFonts w:eastAsia="Times New Roman" w:cs="Times New Roman" w:ascii="Times New Roman" w:hAnsi="Times New Roman"/>
          <w:sz w:val="28"/>
          <w:szCs w:val="28"/>
        </w:rPr>
        <w:t>Проєкти, спрямовані на започаткування проведення фізкультурно-спортивних щорічних заходів або заходів з популяризації здорового способу життя, створення зон для зайняття фізкультурою, спортом та туризмом, іншими корисними для здоров’я та фізичного стану активностями.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Культура та мистецтво: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Проєкти, спрямовані на популяризацію та  розвиток творчості, культурне дозвілля та естетичний розвиток.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Історія громади/рідного краю: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Проєкти, спрямовані на підвищення обізнаності щодо історії громади та рідного краю (наприклад, музеї, експозиції, створення історичного гуртка).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Інноваційні технології: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Проєкти, спрямовані на популяризацію інноваційних технологій (зокрема STEM, програмування застосунків).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Екологія та захист навколишнього середовища: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Проєкти екологічного спрямування (з популяризації свідомого споживання, поводження з побутовими відходами, енергозбереження, захисту тварин, тощо).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Рівні права - рівні можливості: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Проєкти, спрямовані на підвищення обізнаності щодо прав людини та демократії, зокрема відповідального громадянства, інклюзії  (наприклад, з толерантного ставлення до людей з інвалідністю, представників різних етнічних та інших груп, протидія булінгу, розвиток емпатії, зокрема до людей, які потрапили в скрутні життєві обставини, активностей, що сприяє більшій доступності шкіл та інших об’єктів інфраструктури громади для людей з інвалідністю тощо).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Наука та просвіта: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Проєкти, спрямовані на популяризацію науково-дослідницької діяльності (наприклад, створення гуртків, проведення науково-просвітницьких активностей.  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80" w:leader="none"/>
        </w:tabs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  <w:b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sz w:val="28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uk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Times New Roman" w:hAnsi="Times New Roman"/>
      <w:b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8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Times New Roman" w:hAnsi="Times New Roman" w:cs="Times New Roman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Noto Sans Symbols"/>
    </w:rPr>
  </w:style>
  <w:style w:type="character" w:styleId="ListLabel40">
    <w:name w:val="ListLabel 40"/>
    <w:qFormat/>
    <w:rPr>
      <w:rFonts w:cs="Noto Sans Symbols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Noto Sans Symbols"/>
    </w:rPr>
  </w:style>
  <w:style w:type="character" w:styleId="ListLabel43">
    <w:name w:val="ListLabel 43"/>
    <w:qFormat/>
    <w:rPr>
      <w:rFonts w:cs="Noto Sans Symbol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Noto Sans Symbols"/>
    </w:rPr>
  </w:style>
  <w:style w:type="character" w:styleId="ListLabel46">
    <w:name w:val="ListLabel 46"/>
    <w:qFormat/>
    <w:rPr>
      <w:rFonts w:ascii="Times New Roman" w:hAnsi="Times New Roman" w:cs="Wingdings"/>
      <w:b/>
      <w:sz w:val="28"/>
      <w:u w:val="none"/>
    </w:rPr>
  </w:style>
  <w:style w:type="character" w:styleId="ListLabel47">
    <w:name w:val="ListLabel 47"/>
    <w:qFormat/>
    <w:rPr>
      <w:rFonts w:cs="Wingdings 2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Wingdings"/>
      <w:u w:val="none"/>
    </w:rPr>
  </w:style>
  <w:style w:type="character" w:styleId="ListLabel50">
    <w:name w:val="ListLabel 50"/>
    <w:qFormat/>
    <w:rPr>
      <w:rFonts w:cs="Wingdings 2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Wingdings"/>
      <w:u w:val="none"/>
    </w:rPr>
  </w:style>
  <w:style w:type="character" w:styleId="ListLabel53">
    <w:name w:val="ListLabel 53"/>
    <w:qFormat/>
    <w:rPr>
      <w:rFonts w:cs="Wingdings 2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ascii="Times New Roman" w:hAnsi="Times New Roman"/>
      <w:sz w:val="28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Times New Roman" w:hAnsi="Times New Roman" w:cs="OpenSymbol"/>
      <w:sz w:val="28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Noto Sans Symbols"/>
    </w:rPr>
  </w:style>
  <w:style w:type="character" w:styleId="ListLabel76">
    <w:name w:val="ListLabel 76"/>
    <w:qFormat/>
    <w:rPr>
      <w:rFonts w:cs="Noto Sans Symbols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Noto Sans Symbols"/>
    </w:rPr>
  </w:style>
  <w:style w:type="character" w:styleId="ListLabel79">
    <w:name w:val="ListLabel 79"/>
    <w:qFormat/>
    <w:rPr>
      <w:rFonts w:cs="Noto Sans Symbol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Noto Sans Symbols"/>
    </w:rPr>
  </w:style>
  <w:style w:type="character" w:styleId="ListLabel82">
    <w:name w:val="ListLabel 82"/>
    <w:qFormat/>
    <w:rPr>
      <w:rFonts w:ascii="Times New Roman" w:hAnsi="Times New Roman" w:cs="Wingdings"/>
      <w:b/>
      <w:sz w:val="28"/>
      <w:u w:val="none"/>
    </w:rPr>
  </w:style>
  <w:style w:type="character" w:styleId="ListLabel83">
    <w:name w:val="ListLabel 83"/>
    <w:qFormat/>
    <w:rPr>
      <w:rFonts w:cs="Wingdings 2"/>
      <w:u w:val="none"/>
    </w:rPr>
  </w:style>
  <w:style w:type="character" w:styleId="ListLabel84">
    <w:name w:val="ListLabel 84"/>
    <w:qFormat/>
    <w:rPr>
      <w:rFonts w:cs="OpenSymbol"/>
      <w:u w:val="none"/>
    </w:rPr>
  </w:style>
  <w:style w:type="character" w:styleId="ListLabel85">
    <w:name w:val="ListLabel 85"/>
    <w:qFormat/>
    <w:rPr>
      <w:rFonts w:cs="Wingdings"/>
      <w:u w:val="none"/>
    </w:rPr>
  </w:style>
  <w:style w:type="character" w:styleId="ListLabel86">
    <w:name w:val="ListLabel 86"/>
    <w:qFormat/>
    <w:rPr>
      <w:rFonts w:cs="Wingdings 2"/>
      <w:u w:val="none"/>
    </w:rPr>
  </w:style>
  <w:style w:type="character" w:styleId="ListLabel87">
    <w:name w:val="ListLabel 87"/>
    <w:qFormat/>
    <w:rPr>
      <w:rFonts w:cs="OpenSymbol"/>
      <w:u w:val="none"/>
    </w:rPr>
  </w:style>
  <w:style w:type="character" w:styleId="ListLabel88">
    <w:name w:val="ListLabel 88"/>
    <w:qFormat/>
    <w:rPr>
      <w:rFonts w:cs="Wingdings"/>
      <w:u w:val="none"/>
    </w:rPr>
  </w:style>
  <w:style w:type="character" w:styleId="ListLabel89">
    <w:name w:val="ListLabel 89"/>
    <w:qFormat/>
    <w:rPr>
      <w:rFonts w:cs="Wingdings 2"/>
      <w:u w:val="none"/>
    </w:rPr>
  </w:style>
  <w:style w:type="character" w:styleId="ListLabel90">
    <w:name w:val="ListLabel 90"/>
    <w:qFormat/>
    <w:rPr>
      <w:rFonts w:cs="OpenSymbol"/>
      <w:u w:val="none"/>
    </w:rPr>
  </w:style>
  <w:style w:type="character" w:styleId="ListLabel91">
    <w:name w:val="ListLabel 91"/>
    <w:qFormat/>
    <w:rPr>
      <w:rFonts w:ascii="Times New Roman" w:hAnsi="Times New Roman"/>
      <w:sz w:val="28"/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rFonts w:ascii="Times New Roman" w:hAnsi="Times New Roman" w:cs="OpenSymbol"/>
      <w:sz w:val="28"/>
      <w:u w:val="none"/>
    </w:rPr>
  </w:style>
  <w:style w:type="character" w:styleId="ListLabel101">
    <w:name w:val="ListLabel 101"/>
    <w:qFormat/>
    <w:rPr>
      <w:rFonts w:cs="OpenSymbol"/>
      <w:u w:val="none"/>
    </w:rPr>
  </w:style>
  <w:style w:type="character" w:styleId="ListLabel102">
    <w:name w:val="ListLabel 102"/>
    <w:qFormat/>
    <w:rPr>
      <w:rFonts w:cs="OpenSymbol"/>
      <w:u w:val="none"/>
    </w:rPr>
  </w:style>
  <w:style w:type="character" w:styleId="ListLabel103">
    <w:name w:val="ListLabel 103"/>
    <w:qFormat/>
    <w:rPr>
      <w:rFonts w:cs="OpenSymbol"/>
      <w:u w:val="none"/>
    </w:rPr>
  </w:style>
  <w:style w:type="character" w:styleId="ListLabel104">
    <w:name w:val="ListLabel 104"/>
    <w:qFormat/>
    <w:rPr>
      <w:rFonts w:cs="OpenSymbol"/>
      <w:u w:val="none"/>
    </w:rPr>
  </w:style>
  <w:style w:type="character" w:styleId="ListLabel105">
    <w:name w:val="ListLabel 105"/>
    <w:qFormat/>
    <w:rPr>
      <w:rFonts w:cs="OpenSymbol"/>
      <w:u w:val="none"/>
    </w:rPr>
  </w:style>
  <w:style w:type="character" w:styleId="ListLabel106">
    <w:name w:val="ListLabel 106"/>
    <w:qFormat/>
    <w:rPr>
      <w:rFonts w:cs="OpenSymbol"/>
      <w:u w:val="none"/>
    </w:rPr>
  </w:style>
  <w:style w:type="character" w:styleId="ListLabel107">
    <w:name w:val="ListLabel 107"/>
    <w:qFormat/>
    <w:rPr>
      <w:rFonts w:cs="OpenSymbol"/>
      <w:u w:val="none"/>
    </w:rPr>
  </w:style>
  <w:style w:type="character" w:styleId="ListLabel108">
    <w:name w:val="ListLabel 108"/>
    <w:qFormat/>
    <w:rPr>
      <w:rFonts w:cs="OpenSymbol"/>
      <w:u w:val="none"/>
    </w:rPr>
  </w:style>
  <w:style w:type="character" w:styleId="ListLabel109">
    <w:name w:val="ListLabel 109"/>
    <w:qFormat/>
    <w:rPr>
      <w:rFonts w:cs="Times New Roman"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Noto Sans Symbols"/>
    </w:rPr>
  </w:style>
  <w:style w:type="character" w:styleId="ListLabel112">
    <w:name w:val="ListLabel 112"/>
    <w:qFormat/>
    <w:rPr>
      <w:rFonts w:cs="Noto Sans Symbols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Noto Sans Symbols"/>
    </w:rPr>
  </w:style>
  <w:style w:type="character" w:styleId="ListLabel115">
    <w:name w:val="ListLabel 115"/>
    <w:qFormat/>
    <w:rPr>
      <w:rFonts w:cs="Noto Sans Symbol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Noto Sans Symbols"/>
    </w:rPr>
  </w:style>
  <w:style w:type="character" w:styleId="ListLabel118">
    <w:name w:val="ListLabel 118"/>
    <w:qFormat/>
    <w:rPr>
      <w:rFonts w:ascii="Times New Roman" w:hAnsi="Times New Roman" w:cs="Wingdings"/>
      <w:b/>
      <w:sz w:val="28"/>
      <w:u w:val="none"/>
    </w:rPr>
  </w:style>
  <w:style w:type="character" w:styleId="ListLabel119">
    <w:name w:val="ListLabel 119"/>
    <w:qFormat/>
    <w:rPr>
      <w:rFonts w:cs="Wingdings 2"/>
      <w:u w:val="none"/>
    </w:rPr>
  </w:style>
  <w:style w:type="character" w:styleId="ListLabel120">
    <w:name w:val="ListLabel 120"/>
    <w:qFormat/>
    <w:rPr>
      <w:rFonts w:cs="OpenSymbol"/>
      <w:u w:val="none"/>
    </w:rPr>
  </w:style>
  <w:style w:type="character" w:styleId="ListLabel121">
    <w:name w:val="ListLabel 121"/>
    <w:qFormat/>
    <w:rPr>
      <w:rFonts w:cs="Wingdings"/>
      <w:u w:val="none"/>
    </w:rPr>
  </w:style>
  <w:style w:type="character" w:styleId="ListLabel122">
    <w:name w:val="ListLabel 122"/>
    <w:qFormat/>
    <w:rPr>
      <w:rFonts w:cs="Wingdings 2"/>
      <w:u w:val="none"/>
    </w:rPr>
  </w:style>
  <w:style w:type="character" w:styleId="ListLabel123">
    <w:name w:val="ListLabel 123"/>
    <w:qFormat/>
    <w:rPr>
      <w:rFonts w:cs="OpenSymbol"/>
      <w:u w:val="none"/>
    </w:rPr>
  </w:style>
  <w:style w:type="character" w:styleId="ListLabel124">
    <w:name w:val="ListLabel 124"/>
    <w:qFormat/>
    <w:rPr>
      <w:rFonts w:cs="Wingdings"/>
      <w:u w:val="none"/>
    </w:rPr>
  </w:style>
  <w:style w:type="character" w:styleId="ListLabel125">
    <w:name w:val="ListLabel 125"/>
    <w:qFormat/>
    <w:rPr>
      <w:rFonts w:cs="Wingdings 2"/>
      <w:u w:val="none"/>
    </w:rPr>
  </w:style>
  <w:style w:type="character" w:styleId="ListLabel126">
    <w:name w:val="ListLabel 126"/>
    <w:qFormat/>
    <w:rPr>
      <w:rFonts w:cs="OpenSymbol"/>
      <w:u w:val="none"/>
    </w:rPr>
  </w:style>
  <w:style w:type="character" w:styleId="ListLabel127">
    <w:name w:val="ListLabel 127"/>
    <w:qFormat/>
    <w:rPr>
      <w:rFonts w:ascii="Times New Roman" w:hAnsi="Times New Roman"/>
      <w:sz w:val="28"/>
      <w:u w:val="none"/>
    </w:rPr>
  </w:style>
  <w:style w:type="character" w:styleId="ListLabel128">
    <w:name w:val="ListLabel 128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6">
    <w:name w:val="ListLabel 136"/>
    <w:qFormat/>
    <w:rPr>
      <w:rFonts w:ascii="Times New Roman" w:hAnsi="Times New Roman" w:cs="OpenSymbol"/>
      <w:sz w:val="28"/>
      <w:u w:val="none"/>
    </w:rPr>
  </w:style>
  <w:style w:type="character" w:styleId="ListLabel137">
    <w:name w:val="ListLabel 137"/>
    <w:qFormat/>
    <w:rPr>
      <w:rFonts w:cs="OpenSymbol"/>
      <w:u w:val="none"/>
    </w:rPr>
  </w:style>
  <w:style w:type="character" w:styleId="ListLabel138">
    <w:name w:val="ListLabel 138"/>
    <w:qFormat/>
    <w:rPr>
      <w:rFonts w:cs="OpenSymbol"/>
      <w:u w:val="none"/>
    </w:rPr>
  </w:style>
  <w:style w:type="character" w:styleId="ListLabel139">
    <w:name w:val="ListLabel 139"/>
    <w:qFormat/>
    <w:rPr>
      <w:rFonts w:cs="OpenSymbol"/>
      <w:u w:val="none"/>
    </w:rPr>
  </w:style>
  <w:style w:type="character" w:styleId="ListLabel140">
    <w:name w:val="ListLabel 140"/>
    <w:qFormat/>
    <w:rPr>
      <w:rFonts w:cs="OpenSymbol"/>
      <w:u w:val="none"/>
    </w:rPr>
  </w:style>
  <w:style w:type="character" w:styleId="ListLabel141">
    <w:name w:val="ListLabel 141"/>
    <w:qFormat/>
    <w:rPr>
      <w:rFonts w:cs="OpenSymbol"/>
      <w:u w:val="none"/>
    </w:rPr>
  </w:style>
  <w:style w:type="character" w:styleId="ListLabel142">
    <w:name w:val="ListLabel 142"/>
    <w:qFormat/>
    <w:rPr>
      <w:rFonts w:cs="OpenSymbol"/>
      <w:u w:val="none"/>
    </w:rPr>
  </w:style>
  <w:style w:type="character" w:styleId="ListLabel143">
    <w:name w:val="ListLabel 143"/>
    <w:qFormat/>
    <w:rPr>
      <w:rFonts w:cs="OpenSymbol"/>
      <w:u w:val="none"/>
    </w:rPr>
  </w:style>
  <w:style w:type="character" w:styleId="ListLabel144">
    <w:name w:val="ListLabel 144"/>
    <w:qFormat/>
    <w:rPr>
      <w:rFonts w:cs="OpenSymbol"/>
      <w:u w:val="none"/>
    </w:rPr>
  </w:style>
  <w:style w:type="character" w:styleId="ListLabel145">
    <w:name w:val="ListLabel 145"/>
    <w:qFormat/>
    <w:rPr>
      <w:rFonts w:cs="Times New Roman"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Noto Sans Symbols"/>
    </w:rPr>
  </w:style>
  <w:style w:type="character" w:styleId="ListLabel148">
    <w:name w:val="ListLabel 148"/>
    <w:qFormat/>
    <w:rPr>
      <w:rFonts w:cs="Noto Sans Symbols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Noto Sans Symbols"/>
    </w:rPr>
  </w:style>
  <w:style w:type="character" w:styleId="ListLabel151">
    <w:name w:val="ListLabel 151"/>
    <w:qFormat/>
    <w:rPr>
      <w:rFonts w:cs="Noto Sans Symbols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Noto Sans Symbols"/>
    </w:rPr>
  </w:style>
  <w:style w:type="character" w:styleId="ListLabel154">
    <w:name w:val="ListLabel 154"/>
    <w:qFormat/>
    <w:rPr>
      <w:rFonts w:ascii="Times New Roman" w:hAnsi="Times New Roman" w:cs="Wingdings"/>
      <w:b/>
      <w:sz w:val="28"/>
      <w:u w:val="none"/>
    </w:rPr>
  </w:style>
  <w:style w:type="character" w:styleId="ListLabel155">
    <w:name w:val="ListLabel 155"/>
    <w:qFormat/>
    <w:rPr>
      <w:rFonts w:cs="Wingdings 2"/>
      <w:u w:val="none"/>
    </w:rPr>
  </w:style>
  <w:style w:type="character" w:styleId="ListLabel156">
    <w:name w:val="ListLabel 156"/>
    <w:qFormat/>
    <w:rPr>
      <w:rFonts w:cs="OpenSymbol"/>
      <w:u w:val="none"/>
    </w:rPr>
  </w:style>
  <w:style w:type="character" w:styleId="ListLabel157">
    <w:name w:val="ListLabel 157"/>
    <w:qFormat/>
    <w:rPr>
      <w:rFonts w:cs="Wingdings"/>
      <w:u w:val="none"/>
    </w:rPr>
  </w:style>
  <w:style w:type="character" w:styleId="ListLabel158">
    <w:name w:val="ListLabel 158"/>
    <w:qFormat/>
    <w:rPr>
      <w:rFonts w:cs="Wingdings 2"/>
      <w:u w:val="none"/>
    </w:rPr>
  </w:style>
  <w:style w:type="character" w:styleId="ListLabel159">
    <w:name w:val="ListLabel 159"/>
    <w:qFormat/>
    <w:rPr>
      <w:rFonts w:cs="OpenSymbol"/>
      <w:u w:val="none"/>
    </w:rPr>
  </w:style>
  <w:style w:type="character" w:styleId="ListLabel160">
    <w:name w:val="ListLabel 160"/>
    <w:qFormat/>
    <w:rPr>
      <w:rFonts w:cs="Wingdings"/>
      <w:u w:val="none"/>
    </w:rPr>
  </w:style>
  <w:style w:type="character" w:styleId="ListLabel161">
    <w:name w:val="ListLabel 161"/>
    <w:qFormat/>
    <w:rPr>
      <w:rFonts w:cs="Wingdings 2"/>
      <w:u w:val="none"/>
    </w:rPr>
  </w:style>
  <w:style w:type="character" w:styleId="ListLabel162">
    <w:name w:val="ListLabel 162"/>
    <w:qFormat/>
    <w:rPr>
      <w:rFonts w:cs="OpenSymbol"/>
      <w:u w:val="none"/>
    </w:rPr>
  </w:style>
  <w:style w:type="character" w:styleId="ListLabel163">
    <w:name w:val="ListLabel 163"/>
    <w:qFormat/>
    <w:rPr>
      <w:rFonts w:ascii="Times New Roman" w:hAnsi="Times New Roman"/>
      <w:sz w:val="28"/>
      <w:u w:val="none"/>
    </w:rPr>
  </w:style>
  <w:style w:type="character" w:styleId="ListLabel164">
    <w:name w:val="ListLabel 164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2">
    <w:name w:val="ListLabel 172"/>
    <w:qFormat/>
    <w:rPr>
      <w:rFonts w:ascii="Times New Roman" w:hAnsi="Times New Roman" w:cs="OpenSymbol"/>
      <w:sz w:val="28"/>
      <w:u w:val="none"/>
    </w:rPr>
  </w:style>
  <w:style w:type="character" w:styleId="ListLabel173">
    <w:name w:val="ListLabel 173"/>
    <w:qFormat/>
    <w:rPr>
      <w:rFonts w:cs="OpenSymbol"/>
      <w:u w:val="none"/>
    </w:rPr>
  </w:style>
  <w:style w:type="character" w:styleId="ListLabel174">
    <w:name w:val="ListLabel 174"/>
    <w:qFormat/>
    <w:rPr>
      <w:rFonts w:cs="OpenSymbol"/>
      <w:u w:val="none"/>
    </w:rPr>
  </w:style>
  <w:style w:type="character" w:styleId="ListLabel175">
    <w:name w:val="ListLabel 175"/>
    <w:qFormat/>
    <w:rPr>
      <w:rFonts w:cs="OpenSymbol"/>
      <w:u w:val="none"/>
    </w:rPr>
  </w:style>
  <w:style w:type="character" w:styleId="ListLabel176">
    <w:name w:val="ListLabel 176"/>
    <w:qFormat/>
    <w:rPr>
      <w:rFonts w:cs="OpenSymbol"/>
      <w:u w:val="none"/>
    </w:rPr>
  </w:style>
  <w:style w:type="character" w:styleId="ListLabel177">
    <w:name w:val="ListLabel 177"/>
    <w:qFormat/>
    <w:rPr>
      <w:rFonts w:cs="OpenSymbol"/>
      <w:u w:val="none"/>
    </w:rPr>
  </w:style>
  <w:style w:type="character" w:styleId="ListLabel178">
    <w:name w:val="ListLabel 178"/>
    <w:qFormat/>
    <w:rPr>
      <w:rFonts w:cs="OpenSymbol"/>
      <w:u w:val="none"/>
    </w:rPr>
  </w:style>
  <w:style w:type="character" w:styleId="ListLabel179">
    <w:name w:val="ListLabel 179"/>
    <w:qFormat/>
    <w:rPr>
      <w:rFonts w:cs="OpenSymbol"/>
      <w:u w:val="none"/>
    </w:rPr>
  </w:style>
  <w:style w:type="character" w:styleId="ListLabel180">
    <w:name w:val="ListLabel 180"/>
    <w:qFormat/>
    <w:rPr>
      <w:rFonts w:cs="OpenSymbol"/>
      <w:u w:val="non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qFormat/>
    <w:rsid w:val="00664267"/>
    <w:pPr>
      <w:spacing w:lineRule="auto" w:line="240" w:before="0" w:after="0"/>
      <w:ind w:left="720" w:hanging="0"/>
      <w:contextualSpacing/>
    </w:pPr>
    <w:rPr>
      <w:rFonts w:ascii="Times New Roman" w:hAnsi="Times New Roman" w:eastAsia="Noto Sans CJK SC" w:cs="Lohit Devanagari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LibreOffice/6.1.0.3$Windows_X86_64 LibreOffice_project/efb621ed25068d70781dc026f7e9c5187a4decd1</Application>
  <Pages>5</Pages>
  <Words>1072</Words>
  <Characters>6969</Characters>
  <CharactersWithSpaces>8331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2022-06-28T14:01:00Z</dcterms:created>
  <dc:creator>Пользователь</dc:creator>
  <dc:description/>
  <dc:language>ru-RU</dc:language>
  <cp:lastModifiedBy/>
  <cp:lastPrinted>2022-06-30T15:18:23Z</cp:lastPrinted>
  <dcterms:modified xsi:type="dcterms:W3CDTF">2022-07-25T10:20:45Z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