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23" w:hanging="0"/>
        <w:rPr/>
      </w:pPr>
      <w:r>
        <w:rPr/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spacing w:lineRule="auto" w:line="240" w:before="0" w:after="0"/>
        <w:ind w:firstLine="48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від __ жовтня 2022 року №__  26-VIII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(26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sz w:val="28"/>
          <w:szCs w:val="28"/>
        </w:rPr>
        <w:t>есія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ind w:right="423" w:hanging="0"/>
        <w:rPr>
          <w:lang w:val="uk-UA"/>
        </w:rPr>
      </w:pPr>
      <w:r>
        <w:rPr>
          <w:lang w:val="uk-UA"/>
        </w:rPr>
      </w:r>
    </w:p>
    <w:p>
      <w:pPr>
        <w:pStyle w:val="Normal"/>
        <w:ind w:right="423" w:hanging="0"/>
        <w:jc w:val="center"/>
        <w:rPr/>
      </w:pPr>
      <w:r>
        <w:rPr/>
      </w:r>
    </w:p>
    <w:p>
      <w:pPr>
        <w:pStyle w:val="Normal"/>
        <w:ind w:right="423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 на 2023 рік</w:t>
      </w:r>
    </w:p>
    <w:tbl>
      <w:tblPr>
        <w:tblW w:w="98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8"/>
        <w:gridCol w:w="3972"/>
        <w:gridCol w:w="1417"/>
        <w:gridCol w:w="2083"/>
      </w:tblGrid>
      <w:tr>
        <w:trPr>
          <w:trHeight w:val="644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Комунальне підприємство «Покровський комунгосп» Решетилівської міської ради Полтавської області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35717217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Забір, очищення  та постачання води.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38413 Полтавська область ,с-ще Покровське , вул. Освітянська 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36.00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(095)- 420-74-41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Валерій БАБИР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310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59"/>
        <w:gridCol w:w="1018"/>
        <w:gridCol w:w="1234"/>
        <w:gridCol w:w="996"/>
        <w:gridCol w:w="996"/>
        <w:gridCol w:w="996"/>
        <w:gridCol w:w="999"/>
      </w:tblGrid>
      <w:tr>
        <w:trPr>
          <w:tblHeader w:val="true"/>
        </w:trPr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3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5132,0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4600,0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1100,0</w:t>
            </w:r>
          </w:p>
        </w:tc>
      </w:tr>
      <w:tr>
        <w:trPr>
          <w:trHeight w:val="42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5132,0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1283,0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3793,0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948,3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948,3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328,0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328,0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1818,0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454,5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454,5</w:t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40,8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25,0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305,8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305,8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3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44,9</w:t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824,4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206,1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206,1</w:t>
            </w:r>
          </w:p>
        </w:tc>
      </w:tr>
      <w:tr>
        <w:trPr>
          <w:trHeight w:val="422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45,3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45,3</w:t>
            </w:r>
          </w:p>
        </w:tc>
      </w:tr>
      <w:tr>
        <w:trPr>
          <w:trHeight w:val="39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5,2</w:t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23,1</w:t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0,18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1491,6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2642,4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660,6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660,6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145,3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145,3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34,5</w:t>
            </w:r>
            <w:bookmarkStart w:id="0" w:name="_GoBack"/>
            <w:bookmarkEnd w:id="0"/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1254,1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1254,1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369,3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369,3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369,3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369,3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369,3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В.о.Директора                                  ___________Валерій Бабир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___________Наталія ГОРДЕЄВА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82f48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4d1cb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rsid w:val="004d1cb1"/>
    <w:pPr>
      <w:spacing w:before="0" w:after="140"/>
    </w:pPr>
    <w:rPr/>
  </w:style>
  <w:style w:type="paragraph" w:styleId="Style17">
    <w:name w:val="List"/>
    <w:basedOn w:val="Style16"/>
    <w:rsid w:val="004d1cb1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азвание объекта1"/>
    <w:basedOn w:val="Normal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rsid w:val="004d1cb1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82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7547-BC30-4DBD-8991-1A3284B1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LibreOffice/6.3.1.2$Windows_X86_64 LibreOffice_project/b79626edf0065ac373bd1df5c28bd630b4424273</Application>
  <Pages>4</Pages>
  <Words>600</Words>
  <Characters>3573</Characters>
  <CharactersWithSpaces>3985</CharactersWithSpaces>
  <Paragraphs>314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2021-09-22T10:35:00Z</dcterms:created>
  <dc:creator>Ирина</dc:creator>
  <dc:description/>
  <dc:language>uk-UA</dc:language>
  <cp:lastModifiedBy/>
  <cp:lastPrinted>2022-09-27T07:21:00Z</cp:lastPrinted>
  <dcterms:modified xsi:type="dcterms:W3CDTF">2022-10-11T15:26:37Z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