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CD" w:rsidRDefault="000F2E8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                                        </w:t>
      </w:r>
    </w:p>
    <w:p w:rsidR="003333CD" w:rsidRDefault="000F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3333CD" w:rsidRDefault="000F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3333CD" w:rsidRDefault="000F2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333CD" w:rsidRDefault="00333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33CD" w:rsidRDefault="000F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333CD" w:rsidRDefault="003333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333CD" w:rsidRDefault="000F2E8F">
      <w:p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31 жовтня 2022 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№ 199</w:t>
      </w:r>
    </w:p>
    <w:p w:rsidR="003333CD" w:rsidRDefault="003333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333CD" w:rsidRDefault="000F2E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висновків </w:t>
      </w:r>
    </w:p>
    <w:p w:rsidR="003333CD" w:rsidRDefault="000F2E8F">
      <w:p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вартість майна для передачі</w:t>
      </w:r>
    </w:p>
    <w:p w:rsidR="003333CD" w:rsidRDefault="000F2E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його в оренду </w:t>
      </w:r>
    </w:p>
    <w:p w:rsidR="003333CD" w:rsidRDefault="003333C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333CD" w:rsidRDefault="000F2E8F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</w:t>
      </w:r>
      <w:r>
        <w:rPr>
          <w:rFonts w:ascii="Times New Roman" w:hAnsi="Times New Roman"/>
          <w:sz w:val="28"/>
          <w:szCs w:val="28"/>
          <w:lang w:val="uk-UA"/>
        </w:rPr>
        <w:t>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об'є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ктів оренди, затвердженою постановою Кабінету Міністрів України від 04.10.1995 № 629, рішенням третьої позачергової сесії Решетилівської міської ради восьмого скликання від 27.01.2021 № 105-3-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ІІІ „Про затвердження документів щодо оренди майна Решетилівської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3333CD" w:rsidRDefault="000F2E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333CD" w:rsidRDefault="003333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33CD" w:rsidRDefault="000F2E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Затвердити висновки про вартість майна для передачі його в оренду:</w:t>
      </w:r>
    </w:p>
    <w:p w:rsidR="003333CD" w:rsidRDefault="000F2E8F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1)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нежитлові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кімнати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68, 69, 72, 73, 74, 75 загальною площею 70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м., вартістю 338475,00 грн. (триста тридцять вісім тисяч чотириста сімдесят п’ять гривень 00 коп.),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розташовані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вул. Покровська, 16, м. Решетилівка, Полтавського району;</w:t>
      </w:r>
    </w:p>
    <w:p w:rsidR="003333CD" w:rsidRDefault="000F2E8F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2)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нежитлові </w:t>
      </w:r>
      <w:r>
        <w:rPr>
          <w:rFonts w:ascii="Times New Roman" w:hAnsi="Times New Roman"/>
          <w:sz w:val="28"/>
          <w:szCs w:val="28"/>
          <w:lang w:val="uk-UA"/>
        </w:rPr>
        <w:t>приміщення кі</w:t>
      </w:r>
      <w:r>
        <w:rPr>
          <w:rFonts w:ascii="Times New Roman" w:hAnsi="Times New Roman"/>
          <w:sz w:val="28"/>
          <w:szCs w:val="28"/>
          <w:lang w:val="uk-UA"/>
        </w:rPr>
        <w:t xml:space="preserve">мнати № 1, 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41,20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м., вартістю 170454,00 грн. (сто сімдесят тисяч чотириста п’ятдесят чотири гривні 00 коп.),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розташовані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вул. Шевченка, 3, м. Решетилівка, Полтавського району.</w:t>
      </w:r>
    </w:p>
    <w:p w:rsidR="003333CD" w:rsidRDefault="003333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3CD" w:rsidRDefault="0033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3CD" w:rsidRDefault="0033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3CD" w:rsidRDefault="003333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33CD" w:rsidRDefault="003333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33CD" w:rsidRDefault="000F2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3333CD" w:rsidRDefault="003333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33CD" w:rsidRDefault="00333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33CD" w:rsidRDefault="00333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33CD" w:rsidRDefault="00333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33CD" w:rsidRDefault="00333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333CD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3333CD"/>
    <w:rsid w:val="000F2E8F"/>
    <w:rsid w:val="0033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qFormat/>
    <w:pPr>
      <w:spacing w:after="140"/>
    </w:pPr>
  </w:style>
  <w:style w:type="paragraph" w:styleId="a6">
    <w:name w:val="List"/>
    <w:basedOn w:val="a5"/>
    <w:qFormat/>
    <w:rPr>
      <w:rFonts w:ascii="Times New Roman" w:hAnsi="Times New Roman" w:cs="Arial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a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b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Arial Unicode MS"/>
    </w:rPr>
  </w:style>
  <w:style w:type="paragraph" w:customStyle="1" w:styleId="110">
    <w:name w:val="Заголовок1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d">
    <w:name w:val="Вміст таблиці"/>
    <w:basedOn w:val="a"/>
    <w:qFormat/>
    <w:pPr>
      <w:suppressLineNumbers/>
    </w:p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1103</Words>
  <Characters>629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135</cp:revision>
  <cp:lastPrinted>2022-02-15T11:36:00Z</cp:lastPrinted>
  <dcterms:created xsi:type="dcterms:W3CDTF">2019-09-26T11:25:00Z</dcterms:created>
  <dcterms:modified xsi:type="dcterms:W3CDTF">2022-11-04T09:18:00Z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5C4F25513C564611B7AF0D4984B285AF</vt:lpwstr>
  </property>
  <property fmtid="{D5CDD505-2E9C-101B-9397-08002B2CF9AE}" pid="7" name="KSOProductBuildVer">
    <vt:lpwstr>1049-11.2.0.10463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