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-1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-1" w:hanging="0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-1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8"/>
        <w:ind w:right="-1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18 листопада 2022 року</w:t>
        <w:tab/>
        <w:tab/>
        <w:tab/>
        <w:tab/>
        <w:tab/>
        <w:tab/>
        <w:tab/>
        <w:t xml:space="preserve">         </w:t>
      </w:r>
      <w:r>
        <w:rPr>
          <w:bCs/>
          <w:color w:val="000000"/>
          <w:lang w:val="uk-UA"/>
        </w:rPr>
        <w:t>№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u w:val="none"/>
          <w:lang w:val="en-US" w:eastAsia="zh-CN" w:bidi="ar-SA"/>
        </w:rPr>
        <w:t xml:space="preserve">1180 </w:t>
      </w:r>
      <w:r>
        <w:rPr>
          <w:bCs/>
          <w:color w:val="000000"/>
          <w:u w:val="none"/>
          <w:lang w:val="uk-UA"/>
        </w:rPr>
        <w:t>-</w:t>
      </w:r>
      <w:r>
        <w:rPr>
          <w:bCs/>
          <w:color w:val="000000"/>
          <w:lang w:val="uk-UA"/>
        </w:rPr>
        <w:t>27-VIIІ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5527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передачу ТОВ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ЖОЛЕТ ІНВЕСТ ГРУП</w:t>
      </w:r>
      <w:r>
        <w:rPr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в оренду земельних ділянок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 та розглянувши клопотання ТОВ ,,</w:t>
      </w:r>
      <w:r>
        <w:rPr>
          <w:bCs/>
          <w:sz w:val="28"/>
          <w:szCs w:val="28"/>
          <w:lang w:val="uk-UA"/>
        </w:rPr>
        <w:t>ЖОЛЕТ ІНВЕСТ ГРУП</w:t>
      </w:r>
      <w:r>
        <w:rPr>
          <w:sz w:val="28"/>
          <w:szCs w:val="28"/>
          <w:lang w:val="uk-UA"/>
        </w:rPr>
        <w:t>”,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право власності на об’єкти нерухомого майна, що знаходиться на земельних ділянках, Решетилівська міська рада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ТОВ ,,</w:t>
      </w:r>
      <w:r>
        <w:rPr>
          <w:bCs/>
          <w:sz w:val="28"/>
          <w:szCs w:val="28"/>
          <w:lang w:val="uk-UA"/>
        </w:rPr>
        <w:t>ЖОЛЕТ ІНВЕСТ ГРУП</w:t>
      </w:r>
      <w:r>
        <w:rPr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оренду строком до 08.09.2041 земельні ділянки, що розташовані на території Решетилівської міської територіальної громади </w:t>
      </w:r>
      <w:r>
        <w:rPr>
          <w:sz w:val="28"/>
          <w:szCs w:val="28"/>
          <w:shd w:fill="FFFFFF" w:val="clear"/>
          <w:lang w:val="uk-UA"/>
        </w:rPr>
        <w:t>для промисловості</w:t>
      </w:r>
      <w:r>
        <w:rPr>
          <w:sz w:val="28"/>
          <w:szCs w:val="28"/>
          <w:lang w:val="uk-UA"/>
        </w:rPr>
        <w:t xml:space="preserve"> загальною площею 1,7006 га, а саме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5324255100:00:018:0022 – 0,0537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5324255100:00:018:0023 – 0,0476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5324255100:00:018:0024 – 1,205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5324255100:00:018:0025 – 0,38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5324255100:00:018:0026 – 0,0020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5324255100:00:018:0027 – 0,0012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5324255100:00:018:0028 – 0,0004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5324255100:00:018:0029 – 0,0004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5324255100:00:018:0030 – 0,0012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5324255100:00:018:0031 – 0,0020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5324255100:00:018:0032 – 0,0012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</w:t>
      </w:r>
      <w:bookmarkStart w:id="0" w:name="_GoBack"/>
      <w:bookmarkEnd w:id="0"/>
      <w:r>
        <w:rPr>
          <w:sz w:val="28"/>
          <w:szCs w:val="28"/>
        </w:rPr>
        <w:t>4255100:00:018:0033 – 0,0004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5324255100:00:018:0034 – 0,0004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5324255100:00:018:0035 – 0,0020 га;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5324255100:00:018:0036 – 0,0012 га.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розмір орендної плати на рівні 12%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Уповноважити міського голову Дядюнову О.А. підписати договір оренди землі з ТОВ ,,</w:t>
      </w:r>
      <w:r>
        <w:rPr>
          <w:bCs/>
          <w:sz w:val="28"/>
          <w:szCs w:val="28"/>
          <w:lang w:val="uk-UA"/>
        </w:rPr>
        <w:t>ЖОЛЕТ ІНВЕСТ ГРУП</w:t>
      </w:r>
      <w:r>
        <w:rPr>
          <w:sz w:val="28"/>
          <w:szCs w:val="28"/>
          <w:lang w:val="uk-UA"/>
        </w:rPr>
        <w:t>”.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db0b75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0b7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6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7e2cd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de4180"/>
    <w:rPr>
      <w:rFonts w:ascii="Tahoma" w:hAnsi="Tahoma" w:eastAsia="Times New Roman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db0b75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db0b75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75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rsid w:val="00db0b7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7e2cd3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e418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LibreOffice/6.3.1.2$Windows_X86_64 LibreOffice_project/b79626edf0065ac373bd1df5c28bd630b4424273</Application>
  <Pages>2</Pages>
  <Words>231</Words>
  <Characters>1744</Characters>
  <CharactersWithSpaces>1976</CharactersWithSpaces>
  <Paragraphs>29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2022-11-07T18:43:00Z</dcterms:created>
  <dc:creator>Lenovo</dc:creator>
  <dc:description/>
  <dc:language>uk-UA</dc:language>
  <cp:lastModifiedBy/>
  <cp:lastPrinted>2022-11-14T11:56:00Z</cp:lastPrinted>
  <dcterms:modified xsi:type="dcterms:W3CDTF">2022-11-21T09:41:17Z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