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ЗАРЕЄСТРОВАНО                                                           СХВАЛЕНО</w:t>
      </w:r>
    </w:p>
    <w:p>
      <w:pPr>
        <w:pStyle w:val="Normal"/>
        <w:tabs>
          <w:tab w:val="left" w:pos="5387" w:leader="none"/>
          <w:tab w:val="left" w:pos="56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Рішенням виконавчого комітету                                      Загальними зборами трудового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Решетилівської міської ради                                             колективу комунального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19 грудня 2022 року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№_____                                            підприємства „ЕФЕКТˮ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Полтавської області</w:t>
      </w:r>
    </w:p>
    <w:p>
      <w:pPr>
        <w:pStyle w:val="Normal"/>
        <w:tabs>
          <w:tab w:val="left" w:pos="5529" w:leader="none"/>
          <w:tab w:val="left" w:pos="56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Міський голова                                                                   Протокол від  15 грудня 2022 року №4</w:t>
      </w:r>
    </w:p>
    <w:p>
      <w:pPr>
        <w:pStyle w:val="Normal"/>
        <w:tabs>
          <w:tab w:val="left" w:pos="5529" w:leader="none"/>
          <w:tab w:val="left" w:pos="56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Директор </w:t>
      </w:r>
    </w:p>
    <w:p>
      <w:pPr>
        <w:pStyle w:val="Normal"/>
        <w:tabs>
          <w:tab w:val="left" w:pos="5529" w:leader="none"/>
          <w:tab w:val="left" w:pos="567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____________  Оксана ДЯДЮНОВА                                    _____________ Ростислав ГРИБ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uk-U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uk-UA"/>
        </w:rPr>
        <w:t>ЗМІНИ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40"/>
          <w:szCs w:val="40"/>
          <w:lang w:eastAsia="uk-UA"/>
        </w:rPr>
      </w:pPr>
      <w:r>
        <w:rPr>
          <w:rFonts w:eastAsia="Times New Roman" w:cs="Times New Roman" w:ascii="Times New Roman" w:hAnsi="Times New Roman"/>
          <w:b/>
          <w:color w:val="000000"/>
          <w:sz w:val="40"/>
          <w:szCs w:val="40"/>
          <w:lang w:eastAsia="uk-UA"/>
        </w:rPr>
        <w:t>ДО КОЛЕКТИВНОГО ДОГОВОРУ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uk-U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між адміністрацією та трудовим колективом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комунального підприємства „ЕФЕКТˮ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Решетилівської міської ради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на 2022 – 2027 роки</w:t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4962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3686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ind w:firstLine="3686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м. Решетилівка</w:t>
      </w:r>
    </w:p>
    <w:p>
      <w:pPr>
        <w:pStyle w:val="Normal"/>
        <w:spacing w:lineRule="auto" w:line="240" w:before="0" w:after="160"/>
        <w:ind w:firstLine="3686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2022 р.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Додаток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про преміювання працівників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Положення вводиться з метою посилення мотивації та професійного зростання працівників, зміцнення трудової та виконавської дисципліни на підприємстві , шляхом матеріального стимулювання працівників за сумлінне і якісне виконання поставлених перед ним завдань, відповідальне ставлення до роботи, забезпечення високого рівня виконавської і трудової дисципліни, збільшення обсягу надаваних послуг, підвищення якості та культури обслуговування.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Преміювання працівників підприємства проводиться за рахунок власних оборотних та інших коштів підприємства, які залишаються в його розпорядженні та інших джерел не заборонених чинним законодавством,  за результати роботи за місяць, рік в межах посадового окладу. В окремих випадках з нагоди ювілейних та святкових дат може бути виплачена одноразова премія, за наявності коштів на таку виплату.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Преміювання працівників підприємства здійснюється відповідно до їх особистого вкладу в кінцеві результати роботи підприємства.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Премії нараховуються за фактично відпрацьований період у відсотках до посадового окладу.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Крім того розмір премії може встановлюватися в конкретно визначеному розмірі (визначена у твердій грошовій сумі або кількісне визначення окладів).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Премії виплачуються разом із виплатою заробітної плати.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Премії не виплачуються за час відпусток, тимчасової непрацездатності, навчання.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Новоприйнятим працівникам та п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рацівникам, які відпрацювали не повний календарний період у зв’язку з виходом на пенсію, виплата премій може здійснюватись за фактично відпрацьований час.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Працівники які звільнилися, та на яких було накладено дисциплінарне стягнення не підлягають преміюванню.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Показники преміювання і розмір премії, а також право позбавлення премії (повністю або частково) надається директору  за погодженням з профспілковою стороною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ab/>
        <w:t>Преміювання директора підприємства здійснюється на підставі розпорядження Решетилівського міського голови.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Працівники, які допустили порушення посадових інструкцій, правил експлуатації рухомого транспорту, техніки безпеки, охорони праці, ПВТР і інших виробничих упущень, можуть повністю або частково позбавлятися премії.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Дане положення є невід’ємною частиною колективного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  <w:r>
        <w:br w:type="page"/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  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Додаток № 2</w:t>
      </w:r>
    </w:p>
    <w:p>
      <w:pPr>
        <w:pStyle w:val="Normal"/>
        <w:tabs>
          <w:tab w:val="left" w:pos="14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КОЕФІЦІЕНТИ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1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uk-UA"/>
        </w:rPr>
        <w:t>співвідношень мінімальної тарифної ставки робітника І розряду (місячної тарифної ставки) за видами робіт та окремими професіями до встановленої  Галузевою  угодою мінімальної тарифної ставки робітника І розряду</w:t>
      </w:r>
    </w:p>
    <w:p>
      <w:pPr>
        <w:pStyle w:val="Normal"/>
        <w:tabs>
          <w:tab w:val="left" w:pos="20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uk-UA"/>
        </w:rPr>
      </w:r>
    </w:p>
    <w:p>
      <w:pPr>
        <w:pStyle w:val="ListParagraph"/>
        <w:numPr>
          <w:ilvl w:val="0"/>
          <w:numId w:val="1"/>
        </w:numPr>
        <w:tabs>
          <w:tab w:val="left" w:pos="694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Основні види робіт</w:t>
      </w:r>
    </w:p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</w:r>
    </w:p>
    <w:tbl>
      <w:tblPr>
        <w:tblStyle w:val="a4"/>
        <w:tblW w:w="9643" w:type="dxa"/>
        <w:jc w:val="left"/>
        <w:tblInd w:w="1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5"/>
        <w:gridCol w:w="2547"/>
      </w:tblGrid>
      <w:tr>
        <w:trPr/>
        <w:tc>
          <w:tcPr>
            <w:tcW w:w="7095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Коефіцієнти співвідношень</w:t>
            </w:r>
          </w:p>
        </w:tc>
      </w:tr>
      <w:tr>
        <w:trPr/>
        <w:tc>
          <w:tcPr>
            <w:tcW w:w="7095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Невиробничі види робіт і послуг, технічна інвентаризація об’єктів нерухомості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1,34-1,41</w:t>
            </w:r>
          </w:p>
        </w:tc>
      </w:tr>
    </w:tbl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ListParagraph"/>
        <w:numPr>
          <w:ilvl w:val="0"/>
          <w:numId w:val="1"/>
        </w:numPr>
        <w:tabs>
          <w:tab w:val="left" w:pos="694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Професії, які є наскрізними в галузі</w:t>
      </w:r>
    </w:p>
    <w:p>
      <w:pPr>
        <w:pStyle w:val="ListParagraph"/>
        <w:tabs>
          <w:tab w:val="left" w:pos="694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</w:r>
    </w:p>
    <w:tbl>
      <w:tblPr>
        <w:tblStyle w:val="a4"/>
        <w:tblW w:w="9628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0"/>
        <w:gridCol w:w="2547"/>
      </w:tblGrid>
      <w:tr>
        <w:trPr/>
        <w:tc>
          <w:tcPr>
            <w:tcW w:w="7080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Професії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uk-UA"/>
              </w:rPr>
              <w:t>Коефіцієнти співвідношень</w:t>
            </w:r>
          </w:p>
        </w:tc>
      </w:tr>
      <w:tr>
        <w:trPr/>
        <w:tc>
          <w:tcPr>
            <w:tcW w:w="7080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Прибиральник службових приміщень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1,10</w:t>
            </w:r>
          </w:p>
        </w:tc>
      </w:tr>
      <w:tr>
        <w:trPr/>
        <w:tc>
          <w:tcPr>
            <w:tcW w:w="7080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Робітник з благоустрою, прибиральник території кладовища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1,32</w:t>
            </w:r>
          </w:p>
        </w:tc>
      </w:tr>
      <w:tr>
        <w:trPr/>
        <w:tc>
          <w:tcPr>
            <w:tcW w:w="7080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Прибиральник службових приміщень, який прибирає громадські вбиральні</w:t>
            </w:r>
          </w:p>
        </w:tc>
        <w:tc>
          <w:tcPr>
            <w:tcW w:w="2547" w:type="dxa"/>
            <w:tcBorders/>
            <w:shd w:fill="auto" w:val="clear"/>
          </w:tcPr>
          <w:p>
            <w:pPr>
              <w:pStyle w:val="Normal"/>
              <w:tabs>
                <w:tab w:val="left" w:pos="694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1,43</w:t>
            </w:r>
          </w:p>
        </w:tc>
      </w:tr>
    </w:tbl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      </w:t>
      </w:r>
    </w:p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Примітка: у разі встановлення похідної посади «Старший» посадові оклади відповідних посад збільшуються на 10%</w:t>
      </w:r>
    </w:p>
    <w:p>
      <w:pPr>
        <w:pStyle w:val="Normal"/>
        <w:tabs>
          <w:tab w:val="left" w:pos="694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Водії автотранспортних засобів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uk-UA"/>
        </w:rPr>
        <w:t>Вантажні автомобілі</w:t>
      </w:r>
    </w:p>
    <w:tbl>
      <w:tblPr>
        <w:tblStyle w:val="a4"/>
        <w:tblW w:w="9594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3675"/>
        <w:gridCol w:w="3654"/>
      </w:tblGrid>
      <w:tr>
        <w:trPr/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uk-UA"/>
              </w:rPr>
              <w:t>Вантажопідйомність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uk-UA"/>
              </w:rPr>
              <w:t>Бортові автомобілі та автомобілі-фургони загального призначення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uk-UA"/>
              </w:rPr>
              <w:t>Спеціалізовані та спеціальні автомобілі:самоскиди, цистерни, фургони, контейнеровози, снігоочисні, поливально-мийні, підмітально-прибиральні, автокрани, автовишки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(тонн)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uk-UA"/>
              </w:rPr>
              <w:t>Коефіцієнти співвідношень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uk-UA"/>
              </w:rPr>
              <w:t>Коефіцієнти співвідношень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До 1,5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1,74 -1,95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1,86-2,06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Від 1,5 до 3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1,86-2,06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1,95-2,12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Від 3 до 5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1,95-2,12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2,04-2,22</w:t>
            </w:r>
          </w:p>
        </w:tc>
      </w:tr>
      <w:tr>
        <w:trPr/>
        <w:tc>
          <w:tcPr>
            <w:tcW w:w="226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Від 5 до 7</w:t>
            </w:r>
          </w:p>
        </w:tc>
        <w:tc>
          <w:tcPr>
            <w:tcW w:w="367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2,04-2,22</w:t>
            </w:r>
          </w:p>
        </w:tc>
        <w:tc>
          <w:tcPr>
            <w:tcW w:w="36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2,25-2,33</w:t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br w:type="page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Додаток № 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Сітка міжрозрядних тарифних коефіцієнтів для визначення місячної тарифної ставки робітника, зайнятого на виробництвах із застосуванням простих видів робіт та робіт середньої складності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shd w:fill="FFFFFF" w:val="clear"/>
          <w:lang w:eastAsia="uk-UA"/>
        </w:rPr>
        <w:t>РОЗРЯДИ</w:t>
      </w:r>
    </w:p>
    <w:tbl>
      <w:tblPr>
        <w:tblW w:w="9690" w:type="dxa"/>
        <w:jc w:val="left"/>
        <w:tblInd w:w="147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9"/>
        <w:gridCol w:w="1651"/>
        <w:gridCol w:w="1590"/>
        <w:gridCol w:w="1635"/>
        <w:gridCol w:w="1530"/>
        <w:gridCol w:w="1814"/>
      </w:tblGrid>
      <w:tr>
        <w:trPr>
          <w:trHeight w:val="310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4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І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II*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8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III**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0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IV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V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0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VI</w:t>
            </w:r>
          </w:p>
        </w:tc>
      </w:tr>
      <w:tr>
        <w:trPr>
          <w:trHeight w:val="302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2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8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1,08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8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2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6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1,54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020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uk-UA"/>
              </w:rPr>
              <w:t>1,80</w:t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ListParagraph"/>
        <w:spacing w:lineRule="auto" w:line="240" w:before="0" w:after="160"/>
        <w:ind w:left="108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*у тому числі сторожі</w:t>
      </w:r>
    </w:p>
    <w:p>
      <w:pPr>
        <w:pStyle w:val="ListParagraph"/>
        <w:spacing w:lineRule="auto" w:line="240" w:before="0" w:after="160"/>
        <w:contextualSpacing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**у тому числі прибиральники територій</w:t>
      </w:r>
    </w:p>
    <w:p>
      <w:pPr>
        <w:pStyle w:val="Normal"/>
        <w:spacing w:lineRule="auto" w:line="240" w:before="0" w:after="16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e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55e8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55e82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55e82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color w:val="000000"/>
      <w:sz w:val="28"/>
    </w:rPr>
  </w:style>
  <w:style w:type="character" w:styleId="ListLabel38">
    <w:name w:val="ListLabel 38"/>
    <w:qFormat/>
    <w:rPr>
      <w:rFonts w:ascii="Times New Roman" w:hAnsi="Times New Roman"/>
      <w:b/>
      <w:color w:val="auto"/>
      <w:sz w:val="28"/>
    </w:rPr>
  </w:style>
  <w:style w:type="character" w:styleId="ListLabel39">
    <w:name w:val="ListLabel 39"/>
    <w:qFormat/>
    <w:rPr>
      <w:rFonts w:ascii="Times New Roman" w:hAnsi="Times New Roman"/>
      <w:b/>
      <w:color w:val="auto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b/>
      <w:color w:val="000000"/>
      <w:sz w:val="28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Times New Roman"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b/>
      <w:color w:val="auto"/>
      <w:sz w:val="28"/>
    </w:rPr>
  </w:style>
  <w:style w:type="character" w:styleId="ListLabel51">
    <w:name w:val="ListLabel 51"/>
    <w:qFormat/>
    <w:rPr>
      <w:rFonts w:ascii="Times New Roman" w:hAnsi="Times New Roman"/>
      <w:b/>
      <w:color w:val="auto"/>
      <w:sz w:val="24"/>
    </w:rPr>
  </w:style>
  <w:style w:type="character" w:styleId="ListLabel52">
    <w:name w:val="ListLabel 52"/>
    <w:qFormat/>
    <w:rPr>
      <w:rFonts w:ascii="Times New Roman" w:hAnsi="Times New Roman"/>
      <w:b/>
      <w:color w:val="auto"/>
      <w:sz w:val="28"/>
    </w:rPr>
  </w:style>
  <w:style w:type="character" w:styleId="ListLabel53">
    <w:name w:val="ListLabel 53"/>
    <w:qFormat/>
    <w:rPr>
      <w:rFonts w:ascii="Times New Roman" w:hAnsi="Times New Roman"/>
      <w:b/>
      <w:color w:val="auto"/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55e82"/>
    <w:pPr>
      <w:spacing w:before="0" w:after="200"/>
      <w:ind w:left="720" w:hanging="0"/>
      <w:contextualSpacing/>
    </w:pPr>
    <w:rPr/>
  </w:style>
  <w:style w:type="paragraph" w:styleId="Docdata" w:customStyle="1">
    <w:name w:val="docdata"/>
    <w:basedOn w:val="Normal"/>
    <w:qFormat/>
    <w:rsid w:val="00055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55e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055e82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055e82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5e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LibreOffice/6.1.0.3$Windows_X86_64 LibreOffice_project/efb621ed25068d70781dc026f7e9c5187a4decd1</Application>
  <Pages>4</Pages>
  <Words>528</Words>
  <Characters>3763</Characters>
  <CharactersWithSpaces>5163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2022-12-15T06:16:00Z</dcterms:created>
  <dc:creator>User</dc:creator>
  <dc:description/>
  <dc:language>ru-RU</dc:language>
  <cp:lastModifiedBy/>
  <cp:lastPrinted>2022-12-19T11:43:51Z</cp:lastPrinted>
  <dcterms:modified xsi:type="dcterms:W3CDTF">2022-12-19T11:48:13Z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