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(двадцять восьма сесія восьмого скликання)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21 грудня 2022 року                                                                        №1242-28-VIІI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0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розвитку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Решетилівської міської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2023 рік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 та наказом Міністерства регіонального розвитку, будівництва та житлово-комунального господарства України від 30.03.2016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громади”,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 Решетилівської міської ради </w:t>
      </w:r>
      <w:r>
        <w:rPr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26.01.2022 № 996-18-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 „Про виконання плану роботи Решетилівської міської ради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 2021 рік та затвердження відповідного плану на 202</w:t>
      </w:r>
      <w:r>
        <w:rPr>
          <w:sz w:val="28"/>
          <w:szCs w:val="28"/>
          <w:lang w:val="uk-UA" w:eastAsia="ar-SA"/>
        </w:rPr>
        <w:t>2</w:t>
      </w:r>
      <w:r>
        <w:rPr>
          <w:sz w:val="28"/>
          <w:szCs w:val="28"/>
          <w:lang w:val="uk-UA"/>
        </w:rPr>
        <w:t xml:space="preserve"> рік”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 xml:space="preserve">враховуючи висновок Департаменту економічного розвитку, торгівлі та залучення інвестицій Полтавської обласної військової адміністрації                  від 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>15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 xml:space="preserve">.12.2022 № 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>01.2-08/1798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висновки постійних комісій, з метою забезпечення гармонійного і сталого розвитку усіх територій громади на плановій основі, Решетилівська міська рада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Затвердити План соціально-економічного розвитку Решетилівської міської територіальної громади на 2023 рік (далі – ПСЕР-2023), що додається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Дозволити виконавчому комітету Решетилівської міської ради за погодженням з постійною комісією з питань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>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вносити зміни до ПСЕР-2023 з наступним затвердженням на сесії міської ради.</w:t>
      </w:r>
    </w:p>
    <w:p>
      <w:pPr>
        <w:pStyle w:val="Normal"/>
        <w:tabs>
          <w:tab w:val="clear" w:pos="708"/>
          <w:tab w:val="left" w:pos="36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3. Контроль за виконанням рішення покласти на постійну комісію з питань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>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(Оренбургська О.П.).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 xml:space="preserve"> О.А. Дядюнова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  <w:r>
        <w:br w:type="page"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Підготовлено: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Начальник відділу </w:t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економічного розвитку, торгівлі та </w:t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>залучення інвестицій</w:t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А.Л. Романов</w:t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>
      <w:pPr>
        <w:pStyle w:val="Default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Т.А. Малиш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Перший заступник міського голови</w:t>
        <w:tab/>
        <w:tab/>
        <w:tab/>
        <w:tab/>
        <w:tab/>
        <w:t>І.В. Сивинська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Начальник фінансового управління</w:t>
        <w:tab/>
      </w:r>
    </w:p>
    <w:p>
      <w:pPr>
        <w:pStyle w:val="Normal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Решетилівської міської ради</w:t>
        <w:tab/>
        <w:tab/>
        <w:tab/>
        <w:tab/>
        <w:tab/>
        <w:tab/>
        <w:t>В.Г. Онуфрієнко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бухгалтерського</w:t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обліку, звітності та адміністративно-</w:t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господарського забезпечення –</w:t>
      </w:r>
    </w:p>
    <w:p>
      <w:pPr>
        <w:pStyle w:val="Normal"/>
        <w:shd w:val="clear" w:color="auto" w:fill="FFFFFF"/>
        <w:tabs>
          <w:tab w:val="clear" w:pos="708"/>
          <w:tab w:val="left" w:pos="708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бухгалтер</w:t>
        <w:tab/>
        <w:t>С.Г. Момот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Начальник відділу з юридичних питань 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управління комунальним майном</w:t>
        <w:tab/>
        <w:tab/>
        <w:tab/>
        <w:tab/>
        <w:t>Н.Ю. Колотій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відділу організаційно-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інформаційної роботи, документообігу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управління персоналом</w:t>
        <w:tab/>
        <w:tab/>
        <w:tab/>
        <w:tab/>
        <w:tab/>
        <w:tab/>
        <w:t>О.О. Мірошник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</w:t>
      </w:r>
      <w:r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  <w:t xml:space="preserve">з </w:t>
      </w:r>
      <w:r>
        <w:rPr>
          <w:sz w:val="28"/>
          <w:szCs w:val="28"/>
          <w:lang w:val="uk-UA"/>
        </w:rPr>
        <w:t>питань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/>
          <w:sz w:val="28"/>
          <w:szCs w:val="28"/>
          <w:shd w:fill="FFFFFF" w:val="clear"/>
          <w:lang w:val="uk-UA" w:eastAsia="ru-RU"/>
        </w:rPr>
        <w:t xml:space="preserve">бюджету, фінансів, планування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eastAsia="Calibri"/>
          <w:bCs/>
          <w:color w:val="000000"/>
          <w:sz w:val="28"/>
          <w:szCs w:val="28"/>
          <w:highlight w:val="white"/>
          <w:lang w:val="uk-UA" w:eastAsia="ru-RU"/>
        </w:rPr>
      </w:pPr>
      <w:r>
        <w:rPr>
          <w:rFonts w:eastAsia="Calibri"/>
          <w:bCs/>
          <w:color w:val="000000"/>
          <w:sz w:val="28"/>
          <w:szCs w:val="28"/>
          <w:shd w:fill="FFFFFF" w:val="clear"/>
          <w:lang w:val="uk-UA" w:eastAsia="ru-RU"/>
        </w:rPr>
        <w:t xml:space="preserve">соціально-економічного розвитку, цін, </w:t>
      </w:r>
    </w:p>
    <w:p>
      <w:pPr>
        <w:pStyle w:val="Normal"/>
        <w:tabs>
          <w:tab w:val="clear" w:pos="708"/>
          <w:tab w:val="left" w:pos="360" w:leader="none"/>
        </w:tabs>
        <w:ind w:right="-284" w:hanging="0"/>
        <w:jc w:val="both"/>
        <w:rPr>
          <w:lang w:val="uk-UA"/>
        </w:rPr>
      </w:pPr>
      <w:r>
        <w:rPr>
          <w:rFonts w:eastAsia="Calibri"/>
          <w:bCs/>
          <w:color w:val="000000"/>
          <w:sz w:val="28"/>
          <w:szCs w:val="28"/>
          <w:shd w:fill="FFFFFF" w:val="clear"/>
          <w:lang w:val="uk-UA" w:eastAsia="ru-RU"/>
        </w:rPr>
        <w:t>розвитку підприємництва</w:t>
      </w:r>
      <w:r>
        <w:rPr>
          <w:sz w:val="28"/>
          <w:szCs w:val="28"/>
          <w:lang w:val="uk-UA"/>
        </w:rPr>
        <w:tab/>
        <w:tab/>
        <w:tab/>
        <w:tab/>
        <w:tab/>
        <w:tab/>
        <w:t xml:space="preserve">О.П. Оренбургська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Список розсилки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 Решетилівської міської ради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___.12.2022 року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№ 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uk-UA"/>
        </w:rPr>
        <w:t xml:space="preserve">     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-28-</w:t>
      </w:r>
      <w:r>
        <w:rPr>
          <w:rFonts w:cs="Times New Roman" w:ascii="Times New Roman" w:hAnsi="Times New Roman"/>
          <w:sz w:val="28"/>
          <w:szCs w:val="28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II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„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затвердження Плану соціально-економічного розвитку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Решетилівської міської територіальної громади на 2023 рік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”</w:t>
      </w:r>
    </w:p>
    <w:p>
      <w:pPr>
        <w:pStyle w:val="Normal"/>
        <w:jc w:val="center"/>
        <w:rPr>
          <w:rFonts w:ascii="Times New Roman" w:hAnsi="Times New Roman" w:cs="Times New Roman"/>
          <w:color w:val="CE181E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CE181E"/>
          <w:sz w:val="28"/>
          <w:szCs w:val="28"/>
          <w:lang w:val="uk-UA"/>
        </w:rPr>
      </w:r>
    </w:p>
    <w:tbl>
      <w:tblPr>
        <w:tblW w:w="9264" w:type="dxa"/>
        <w:jc w:val="left"/>
        <w:tblInd w:w="98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0"/>
        <w:gridCol w:w="5437"/>
        <w:gridCol w:w="1548"/>
        <w:gridCol w:w="1548"/>
      </w:tblGrid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Кількість рішень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Кількість копій</w:t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Style15"/>
                <w:rFonts w:cs="Times New Roman" w:ascii="Times New Roman" w:hAnsi="Times New Roman"/>
                <w:i w:val="false"/>
                <w:color w:val="00000A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Відділ економічного розвитку, торгівлі та залучення інвестицій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-</w:t>
            </w:r>
          </w:p>
        </w:tc>
      </w:tr>
      <w:tr>
        <w:trPr/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  <w:t>Структурні підрозділи виконкому, самостійні структурні підрозділи міської ради, комунальні підприємства, старости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усім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Начальник відділу </w:t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економічного розвитку, торгівлі та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залучення інвестицій                                                           А.Л. Романов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Примітки для депутатів та читачів сайту/громадськості.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Керуючись статтями 4, 26, 42, 46, 47, 59, 61, 62, 63, 64 та 73 Закону України „Про місцеве самоврядування в Україні”.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 (принципи),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26 (сесія – бюджет),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27 (МВК – соц-економ розвиток),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28 (МВК – фінанси, бюджет і витрати),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42 (голова забезпечує роботу ради та виконкому, формує сесії),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46 (сесії ради),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47 (постійні комісії),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52 (повноваження МВК),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54 (</w:t>
      </w:r>
      <w:r>
        <w:rPr>
          <w:rFonts w:cs="Times New Roman" w:ascii="Times New Roman" w:hAnsi="Times New Roman"/>
          <w:sz w:val="28"/>
          <w:szCs w:val="28"/>
          <w:lang w:val="uk-UA"/>
        </w:rPr>
        <w:t>підконтрольність відділів),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59 (акти і рішення),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61 (бюджети), 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62 (участь держави в доходах МБ),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63 (доходи бюджету),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64 (видатки бюджету),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73 (обов’язковість актів).</w:t>
      </w:r>
    </w:p>
    <w:p>
      <w:pPr>
        <w:pStyle w:val="Normal"/>
        <w:ind w:firstLine="141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Профільний наказ Мінрегіону – від 30.03.2016 № 75 „Про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громади”.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Рішенням Решетилівської міської ради від 26.01.2022 № 996-18-VIII „</w:t>
      </w:r>
      <w:r>
        <w:rPr>
          <w:sz w:val="28"/>
          <w:szCs w:val="28"/>
          <w:lang w:val="uk-UA"/>
        </w:rPr>
        <w:t>Про виконання плану роботи Решетилівської міської ради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 2021 рік та затвердження відповідного плану на 202</w:t>
      </w:r>
      <w:r>
        <w:rPr>
          <w:rFonts w:eastAsia="Times New Roman" w:cs="Times New Roman"/>
          <w:kern w:val="0"/>
          <w:sz w:val="28"/>
          <w:szCs w:val="28"/>
          <w:lang w:val="uk-UA" w:eastAsia="ar-SA" w:bidi="ar-SA"/>
        </w:rPr>
        <w:t>2</w:t>
      </w:r>
      <w:r>
        <w:rPr>
          <w:sz w:val="28"/>
          <w:szCs w:val="28"/>
          <w:lang w:val="uk-UA"/>
        </w:rPr>
        <w:t xml:space="preserve"> рік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” затверджено План роботи МР на 2022 рік, в якому є регламентне рішення щодо ПСЕР (п. 1 у розділі </w:t>
      </w:r>
      <w:r>
        <w:rPr>
          <w:rFonts w:cs="Times New Roman" w:ascii="Times New Roman" w:hAnsi="Times New Roman"/>
          <w:sz w:val="28"/>
          <w:szCs w:val="28"/>
        </w:rPr>
        <w:t>IV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квартал).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Рішенням Решетилівської міської ради від 23.12.2019 № 819-27-</w:t>
      </w:r>
      <w:r>
        <w:rPr>
          <w:rFonts w:cs="Times New Roman" w:ascii="Times New Roman" w:hAnsi="Times New Roman"/>
          <w:sz w:val="28"/>
          <w:szCs w:val="28"/>
        </w:rPr>
        <w:t>VII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затверджено ПСЕР-2020.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Рішенням Решетилівської міської ради від 30.12.2020 № 56-2-</w:t>
      </w:r>
      <w:r>
        <w:rPr>
          <w:rFonts w:cs="Times New Roman" w:ascii="Times New Roman" w:hAnsi="Times New Roman"/>
          <w:sz w:val="28"/>
          <w:szCs w:val="28"/>
        </w:rPr>
        <w:t>VIII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затверджено ПСЕР-2021.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Рішенням Решетилівської міської ради від 10.12.2021 № 870-16-</w:t>
      </w:r>
      <w:r>
        <w:rPr>
          <w:rFonts w:cs="Times New Roman" w:ascii="Times New Roman" w:hAnsi="Times New Roman"/>
          <w:sz w:val="28"/>
          <w:szCs w:val="28"/>
        </w:rPr>
        <w:t>VIII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затверджено ПСЕР-2022.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Змін до ПСЕР-2022 не було. Значить – висока якість роботи при його первинному формуванні.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За своєю суттю ПСЕР – сума усіх місцевих бюджетних (галузевих) програм, термін дії яких охоплює 2023 рік. Малі заходи не бралися до уваги – вони є в блоці-спасінню «Реалізація заходів в межах місцевих програм». Там – усе незначне. Тут – фундаментальні і «важкі» в плані фінансів та додаткових зовнішніх коштів речі та проєкти.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6. У зв’язку із воєнною агресією рф по відношенню до України, діючим воєнним станом у державі, казначейськими обмеженнями щодо використання коштів розпорядниками (постанова КМУ від 09.06.2021 № 590 (зі змінами) «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стану», ПСЕР-2022 виконувався скудно – по мірі проплат. Тому переважні більшість заходів є перехідними із попереднього ПСЕР – через невиконання чи часткове виконання запланованих заходів.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підставі звіту та інформацій від виконавців щодо виконання ПСЕР-2022 було розроблено ПСЕР-2023. Додано новий блок щодо ВПО.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7. Інформацію було узагальнено та опрацьовано із подань лінійних відділів виконавчого комітету відповідно до галузей, самостійних структурних підрозділів, КП, інформацій від старост, а також колективних листів –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розпорядження Решетилівського міського голови від 24.10.2022 № 177 (звіт по ПСЕР-2022);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розпорядження Решетилівського міського голови від 25.11.2022 № 195 (подання для ПСЕР-2023).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8. Перед винесенням на постійні комісії міської ради, проєкт ПСЕР-2023 був надісланий до Департаменту економрозвитку Полтавської ОВА – для отримання висновку про відповідність.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Виконком схвалив проєкт ПСЕР-2023.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! ! ! Рішення по ПСЕР-2023 передує рішенню щодо Бюджету-2023, оскільки бюджет має верстатися на підставі планів та бажань громади щодо майбутнього розвитку на календарний період (у даному випадку – 1 рік).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850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56b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27356b"/>
    <w:rPr>
      <w:b/>
      <w:bCs/>
    </w:rPr>
  </w:style>
  <w:style w:type="character" w:styleId="Style15">
    <w:name w:val="Выделение"/>
    <w:qFormat/>
    <w:rsid w:val="00240b32"/>
    <w:rPr>
      <w:i/>
      <w:iCs/>
    </w:rPr>
  </w:style>
  <w:style w:type="character" w:styleId="Style16" w:customStyle="1">
    <w:name w:val="Основной текст Знак"/>
    <w:basedOn w:val="DefaultParagraphFont"/>
    <w:qFormat/>
    <w:rsid w:val="00bf7522"/>
    <w:rPr>
      <w:rFonts w:ascii="Liberation Serif" w:hAnsi="Liberation Serif" w:eastAsia="Noto Sans CJK SC Regular" w:cs="FreeSans"/>
      <w:kern w:val="2"/>
      <w:sz w:val="24"/>
      <w:szCs w:val="24"/>
      <w:lang w:val="en-US" w:eastAsia="zh-CN" w:bidi="hi-IN"/>
    </w:rPr>
  </w:style>
  <w:style w:type="character" w:styleId="3" w:customStyle="1">
    <w:name w:val="Заголовок 3 Знак"/>
    <w:basedOn w:val="DefaultParagraphFont"/>
    <w:link w:val="31"/>
    <w:uiPriority w:val="99"/>
    <w:qFormat/>
    <w:rsid w:val="00930c81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c2445"/>
    <w:rPr>
      <w:rFonts w:ascii="Segoe UI" w:hAnsi="Segoe UI" w:eastAsia="Noto Sans CJK SC Regular" w:cs="Mangal"/>
      <w:kern w:val="2"/>
      <w:sz w:val="18"/>
      <w:szCs w:val="16"/>
      <w:lang w:val="en-US" w:eastAsia="zh-CN" w:bidi="hi-IN"/>
    </w:rPr>
  </w:style>
  <w:style w:type="character" w:styleId="Rvts23" w:customStyle="1">
    <w:name w:val="rvts23"/>
    <w:qFormat/>
    <w:rsid w:val="00bd725c"/>
    <w:rPr/>
  </w:style>
  <w:style w:type="character" w:styleId="Strong">
    <w:name w:val="Strong"/>
    <w:basedOn w:val="DefaultParagraphFont"/>
    <w:uiPriority w:val="22"/>
    <w:qFormat/>
    <w:rsid w:val="00f34299"/>
    <w:rPr>
      <w:b/>
      <w:bCs/>
    </w:rPr>
  </w:style>
  <w:style w:type="character" w:styleId="Rvts9" w:customStyle="1">
    <w:name w:val="rvts9"/>
    <w:qFormat/>
    <w:rsid w:val="00b25b6a"/>
    <w:rPr/>
  </w:style>
  <w:style w:type="character" w:styleId="Rvts46" w:customStyle="1">
    <w:name w:val="rvts46"/>
    <w:basedOn w:val="DefaultParagraphFont"/>
    <w:qFormat/>
    <w:rsid w:val="00b20d80"/>
    <w:rPr/>
  </w:style>
  <w:style w:type="character" w:styleId="Style18" w:customStyle="1">
    <w:name w:val="Интернет-ссылка"/>
    <w:basedOn w:val="DefaultParagraphFont"/>
    <w:uiPriority w:val="99"/>
    <w:unhideWhenUsed/>
    <w:rsid w:val="00b20d80"/>
    <w:rPr>
      <w:color w:val="0000FF"/>
      <w:u w:val="single"/>
    </w:rPr>
  </w:style>
  <w:style w:type="character" w:styleId="Style19" w:customStyle="1">
    <w:name w:val="Виділення жирним"/>
    <w:qFormat/>
    <w:rsid w:val="00734415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bf7522"/>
    <w:pPr>
      <w:spacing w:lineRule="auto" w:line="288" w:before="0" w:after="140"/>
    </w:pPr>
    <w:rPr/>
  </w:style>
  <w:style w:type="paragraph" w:styleId="Style22">
    <w:name w:val="List"/>
    <w:basedOn w:val="Style21"/>
    <w:rsid w:val="00462cb2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>
    <w:name w:val="Title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462cb2"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rsid w:val="00462cb2"/>
    <w:pPr>
      <w:suppressLineNumbers/>
    </w:pPr>
    <w:rPr>
      <w:rFonts w:cs="Arial Unicode MS"/>
    </w:rPr>
  </w:style>
  <w:style w:type="paragraph" w:styleId="31" w:customStyle="1">
    <w:name w:val="Заголовок 31"/>
    <w:basedOn w:val="Normal"/>
    <w:link w:val="3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1" w:customStyle="1">
    <w:name w:val="Заголовок1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462cb2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9a086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240b32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c2445"/>
    <w:pPr/>
    <w:rPr>
      <w:rFonts w:ascii="Segoe UI" w:hAnsi="Segoe UI" w:cs="Mangal"/>
      <w:sz w:val="18"/>
      <w:szCs w:val="16"/>
    </w:rPr>
  </w:style>
  <w:style w:type="paragraph" w:styleId="Rvps2" w:customStyle="1">
    <w:name w:val="rvps2"/>
    <w:basedOn w:val="Normal"/>
    <w:qFormat/>
    <w:rsid w:val="002a78ba"/>
    <w:pPr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f0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8BE3-7C47-4FAF-BEF2-93278B43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Application>LibreOffice/6.3.1.2$Windows_X86_64 LibreOffice_project/b79626edf0065ac373bd1df5c28bd630b4424273</Application>
  <Pages>5</Pages>
  <Words>811</Words>
  <Characters>5568</Characters>
  <CharactersWithSpaces>6523</CharactersWithSpaces>
  <Paragraphs>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2020-01-15T07:14:00Z</dcterms:created>
  <dc:creator>1</dc:creator>
  <dc:description/>
  <dc:language>uk-UA</dc:language>
  <cp:lastModifiedBy/>
  <cp:lastPrinted>2021-12-02T12:34:00Z</cp:lastPrinted>
  <dcterms:modified xsi:type="dcterms:W3CDTF">2022-12-22T16:41:05Z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