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907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3</w:t>
      </w:r>
    </w:p>
    <w:p>
      <w:pPr>
        <w:pStyle w:val="Normal"/>
        <w:ind w:left="11907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ПСЕР-2023</w:t>
      </w:r>
    </w:p>
    <w:p>
      <w:pPr>
        <w:pStyle w:val="Normal"/>
        <w:ind w:left="11907" w:hanging="0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індикативні показники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соціального і економічного розвитку громади в 2023 році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ListParagraph"/>
        <w:ind w:left="855" w:hanging="0"/>
        <w:jc w:val="center"/>
        <w:rPr>
          <w:b/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1. Показники галузі освіти</w:t>
      </w:r>
    </w:p>
    <w:tbl>
      <w:tblPr>
        <w:tblW w:w="154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1"/>
        <w:gridCol w:w="2835"/>
        <w:gridCol w:w="1700"/>
        <w:gridCol w:w="1548"/>
      </w:tblGrid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2023 року</w:t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 Постійні дошкільні заклади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Приріст кількості дітей у дошкільних закладах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осіб,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(-20%)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 Загальноосвітні навчально-виховні заклади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4. Приріст кількості учнів у загальноосвітніх школах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осіб,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+67 (+2,5%)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5. Рівень комп’ютеризації освітніх закладів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% до заг.кількості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6. Переможці обласних (державних) олімпіад з дисциплін, конкурсів МАН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7. Вчителі, що отримали вище звання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8. Кількість спортивних секцій та охоплення дітей гуртковою роботою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одиниць/осіб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uk-UA"/>
              </w:rPr>
              <w:t>2/249+89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9. Гуртки в БДЮТ та охоплення дітей гуртковою роботою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одиниць/осіб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14/266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9781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81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Показники галузі культури і мистецтва</w:t>
      </w:r>
    </w:p>
    <w:tbl>
      <w:tblPr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1"/>
        <w:gridCol w:w="2835"/>
        <w:gridCol w:w="1700"/>
        <w:gridCol w:w="1560"/>
      </w:tblGrid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ind w:left="230" w:hanging="230"/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2023 року</w:t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 Приріст книжкового фонду в міських бібліотеках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примірників,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Сільські бібліотеки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 Приріст книжкового фонду в сільських бібліотеках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примірників,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4. Заклади клубного типу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>
          <w:trHeight w:val="573" w:hRule="atLeast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5. Гуртки естетичного виховання (дитячі музичні, художні, хореографічні школи, школи мистецтв) та охоплення дітей гуртковою роботою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одиниць/осіб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15/421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>
          <w:trHeight w:val="244" w:hRule="atLeast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6. Кількість самодіяльних творчих колективів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9781" w:leader="none"/>
        </w:tabs>
        <w:rPr>
          <w:b/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9781" w:leader="none"/>
        </w:tabs>
        <w:ind w:left="855" w:hanging="0"/>
        <w:jc w:val="center"/>
        <w:rPr>
          <w:b/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3. Показники залучення осіб до громадських робіт</w:t>
      </w:r>
    </w:p>
    <w:tbl>
      <w:tblPr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1"/>
        <w:gridCol w:w="2835"/>
        <w:gridCol w:w="1700"/>
        <w:gridCol w:w="1560"/>
      </w:tblGrid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2023 року</w:t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 Кількість осіб, які будуть охоплені громадськими роботами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Сума коштів із місцевого бюджету, які витрачаються на громадські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shd w:fill="FFFFFF" w:val="clear"/>
              </w:rPr>
              <w:t>10,6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 Кількість населених пунктів (об’єктів), в яких проводяться громадські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9781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81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Показники охоплення оздоровленням</w:t>
      </w:r>
    </w:p>
    <w:tbl>
      <w:tblPr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1"/>
        <w:gridCol w:w="2835"/>
        <w:gridCol w:w="1700"/>
        <w:gridCol w:w="1560"/>
      </w:tblGrid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2023 року</w:t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 Особи з числа учасників ліквідації наслідків аварії на ЧАЕС 2 категорії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осіб, тис.грн.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Особи, які постраждали в наслідок Чорнобильської катастрофи 1 категорії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bookmarkStart w:id="0" w:name="__DdeLink__92_3318548303"/>
            <w:r>
              <w:rPr>
                <w:sz w:val="28"/>
                <w:szCs w:val="28"/>
                <w:lang w:val="uk-UA"/>
              </w:rPr>
              <w:t>осіб</w:t>
            </w:r>
            <w:bookmarkEnd w:id="0"/>
            <w:r>
              <w:rPr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4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Діти шкільного віку, в т.ч. діти пільгових категорій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осіб, тис.грн.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Інші особи, які оздоровлювалися за рахунок місцевого бюджету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осіб, тис.грн.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4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9781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81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81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81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81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81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81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Показники галузі містобудування та архітектури</w:t>
      </w:r>
    </w:p>
    <w:tbl>
      <w:tblPr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1"/>
        <w:gridCol w:w="2835"/>
        <w:gridCol w:w="1700"/>
        <w:gridCol w:w="1560"/>
      </w:tblGrid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2023 року</w:t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Кількість сільських населених пунктів, які за звітний рік отримали генеральні плани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Кошти місцевого бюджету, які витрачено на розробку містобудівної документації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Кількість замовлених (виготовлених, що пройшли експертизу) проектно-кошторисних документацій на об’єкти будівництва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2, ВС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highlight w:val="yellow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Кошти місцевого бюджету, які витрачено на виготовлення ПКД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67,942, ВС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highlight w:val="yellow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Кількість об’єктів, які розпочато (чи зроблено) за рік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1, ВС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highlight w:val="yellow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Кошти місцевого бюджету, які витрачено на ремонти/реконструкції об’єктів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52,569, ВС, МБК1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sz w:val="28"/>
                <w:szCs w:val="28"/>
                <w:highlight w:val="yellow"/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9781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Показники галузі житлово-комунального господарства</w:t>
      </w:r>
    </w:p>
    <w:tbl>
      <w:tblPr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77"/>
        <w:gridCol w:w="2797"/>
        <w:gridCol w:w="1893"/>
        <w:gridCol w:w="1549"/>
      </w:tblGrid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2023 року</w:t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 Кількість новостворених ОСББ, охоплених квартир, мешканців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осіб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Кількість відремонтованого житлового фонду за рахунок місцевого бюджету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 ВС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Кількість нововведеного житлового фонду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квартир, кімнат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Кількість сімей (громадян), які поліпшили свої житлові умови шляхом пільгового кредитування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осіб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Кошти місцевого бюджету, які витрачені на пільгове кредитування з придбання (будівництва) житла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Створено нових локацій для відпочинку, рекреаційних зон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Додаткова техніка, яка закуплена для групи «Благоустрій» при виконавчому комітеті (на 2023 не відображається), КП «Ефект», КП «Покровський комунгосп»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4; </w:t>
            </w:r>
            <w:r>
              <w:rPr>
                <w:bCs/>
                <w:sz w:val="24"/>
                <w:szCs w:val="24"/>
                <w:lang w:val="uk-UA"/>
              </w:rPr>
              <w:t>129,565 (бензотриметр, акумуляторна газонокосарка, плазморіз та комунальний вакуумний пилосос)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 Встановлено сміттєвих баків для збору сміття, в т.ч. роздільного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одиниць,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 Відремонтовано дорожнього покриття (поточний/капітальний ремонт)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Заключено договорів на </w:t>
            </w:r>
            <w:r>
              <w:rPr>
                <w:sz w:val="26"/>
                <w:szCs w:val="26"/>
              </w:rPr>
              <w:t>1949</w:t>
            </w:r>
            <w:r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</w:rPr>
              <w:t>093</w:t>
            </w:r>
            <w:r>
              <w:rPr>
                <w:sz w:val="26"/>
                <w:szCs w:val="26"/>
                <w:lang w:val="uk-UA"/>
              </w:rPr>
              <w:t xml:space="preserve"> тис.грн.  Разом з тим н</w:t>
            </w:r>
            <w:r>
              <w:rPr>
                <w:bCs/>
                <w:sz w:val="26"/>
                <w:szCs w:val="26"/>
                <w:lang w:val="uk-UA"/>
              </w:rPr>
              <w:t>адано субвенцію ДП «Агентство місцевих доріг Полтавської області» на 2600,0 тис.грн.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 Відремонтовано (поточний/капітальний ремонт) та прокладено нових тротуарів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 Створено нових доріг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 Відремонтовано/прокладено водогонів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м.пог., 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270 м.пог.;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13,5 тис.грн.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 Відремонтовано/проведено вуличного освітлення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 ліній; 328,233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 Стерилізовано домашніх тварин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 Відловлено безпритульних тварин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 ВС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9781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9781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Показники галузі екології</w:t>
      </w:r>
    </w:p>
    <w:tbl>
      <w:tblPr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1"/>
        <w:gridCol w:w="2782"/>
        <w:gridCol w:w="1764"/>
        <w:gridCol w:w="1549"/>
      </w:tblGrid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2023 року</w:t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 Запущено зарибку в річки громади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кг, тис.грн.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 ВС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Проведено робіт по розчистці річок, поглиблення русел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м.пог., тис.грн.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 ВС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Перероблено сміття як вторинну сировину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Дані відсутні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Ліквідовано несанкціонованих сміттєзвалищ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Зібрано небезпечних відходів (люмінесцентні лампи, ртутні термометри, елементи живлення)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кг, одиниць, тис.грн.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70 кг. батарейок, 11 шт. ртутних термометрів, 401 шт.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люмін. ламп на заг. суму 8,7 тис.грн.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Висаджено дерев/кущів на об’єктах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одиниць,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тис.грн., об’єктів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Троянди -  521 шт. на 28,7 тис.грн.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9781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81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Показники залучення інвестицій</w:t>
      </w:r>
    </w:p>
    <w:tbl>
      <w:tblPr>
        <w:tblW w:w="155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55"/>
        <w:gridCol w:w="2821"/>
        <w:gridCol w:w="1784"/>
        <w:gridCol w:w="1669"/>
      </w:tblGrid>
      <w:tr>
        <w:trPr/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2023 року</w:t>
            </w:r>
          </w:p>
        </w:tc>
      </w:tr>
      <w:tr>
        <w:trPr/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 Сума залучених до місцевого бюджету коштів від проєктів/заявок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b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Подано 9, ВС, ГДН 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417,0 – через резидентів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Подано/реалізовано проєктів на обласні конкурси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одиниць,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0/0, ВС, обласні кошти зняті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 Подано/реалізовано проєктів на державні конкурси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одиниць,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4/0, ВС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4. Подано/реалізовано проєктів на міжнародні конкурси (міжнародна фінансова чи технічна допомога)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одиниць,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5/2, ВС, ГДН, 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417,0 – через резидентів;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проєкт для іміджу громади через обласну КУ «Офіс євроінтеграції»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pacing w:lineRule="auto" w:line="25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9781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8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Примітки до додатку: </w:t>
      </w:r>
    </w:p>
    <w:p>
      <w:pPr>
        <w:pStyle w:val="Normal"/>
        <w:tabs>
          <w:tab w:val="clear" w:pos="708"/>
          <w:tab w:val="left" w:pos="978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ВС – роботи чи заходи не проводилися у зв’язку із </w:t>
      </w:r>
      <w:r>
        <w:rPr>
          <w:bCs/>
          <w:sz w:val="28"/>
          <w:szCs w:val="28"/>
          <w:lang w:val="uk-UA"/>
        </w:rPr>
        <w:t xml:space="preserve">воєнним станом в Україні (Указ Президента України від 24.02.2022    № 64/2022 «Про введення воєнного стану в Україні») та казначейськими обмеженнями щодо обслуговування розпорядників відповідно до Постанови КМУ від 09.06.2021 № </w:t>
      </w:r>
      <w:r>
        <w:rPr>
          <w:sz w:val="28"/>
          <w:szCs w:val="28"/>
          <w:lang w:val="uk-UA"/>
        </w:rPr>
        <w:t>590 «Про затвердження Порядку виконання повноважень Державною казначейською службою в особливому режимі в умовах воєнного стану» (зі змінами).</w:t>
      </w:r>
    </w:p>
    <w:p>
      <w:pPr>
        <w:pStyle w:val="Normal"/>
        <w:tabs>
          <w:tab w:val="clear" w:pos="708"/>
          <w:tab w:val="left" w:pos="978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ГДН – не враховано подані заявки (запити) на отримання населенням від організацій гуманітарної допомоги (гуманітарна допомога населенню).</w:t>
      </w:r>
    </w:p>
    <w:p>
      <w:pPr>
        <w:pStyle w:val="Normal"/>
        <w:tabs>
          <w:tab w:val="clear" w:pos="708"/>
          <w:tab w:val="left" w:pos="978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В графі «На кінець 2022 року» відображено абсолютне значення показника, або ж приріст (+/-) до відповідного показника на кінець 2021 року – в залежності від показника.</w:t>
      </w:r>
    </w:p>
    <w:p>
      <w:pPr>
        <w:pStyle w:val="Normal"/>
        <w:tabs>
          <w:tab w:val="clear" w:pos="708"/>
          <w:tab w:val="left" w:pos="978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В графі «На кінець 2023 року» потрібно буде відобразити інформацію, яка буде при звітності щодо реалізації ПСЕР-2023.</w:t>
      </w:r>
    </w:p>
    <w:p>
      <w:pPr>
        <w:pStyle w:val="Normal"/>
        <w:tabs>
          <w:tab w:val="clear" w:pos="708"/>
          <w:tab w:val="left" w:pos="9781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розвитку, торгівлі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та залучення інвестицій </w:t>
        <w:tab/>
        <w:t xml:space="preserve">                                                  А.Л. Романов </w:t>
      </w:r>
    </w:p>
    <w:sectPr>
      <w:type w:val="nextPage"/>
      <w:pgSz w:orient="landscape" w:w="16838" w:h="11906"/>
      <w:pgMar w:left="993" w:right="851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66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6b663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6b663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6b6637"/>
    <w:rPr>
      <w:rFonts w:ascii="Segoe UI" w:hAnsi="Segoe UI" w:eastAsia="Times New Roman" w:cs="Segoe UI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b6637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6b663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6b663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6b663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6b663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Application>LibreOffice/6.3.1.2$Windows_X86_64 LibreOffice_project/b79626edf0065ac373bd1df5c28bd630b4424273</Application>
  <Pages>6</Pages>
  <Words>938</Words>
  <Characters>5803</Characters>
  <CharactersWithSpaces>6587</CharactersWithSpaces>
  <Paragraphs>223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2019-12-17T07:51:00Z</dcterms:created>
  <dc:creator>Пользователь Windows</dc:creator>
  <dc:description/>
  <dc:language>uk-UA</dc:language>
  <cp:lastModifiedBy/>
  <cp:lastPrinted>2022-12-07T12:48:00Z</cp:lastPrinted>
  <dcterms:modified xsi:type="dcterms:W3CDTF">2022-12-21T15:04:06Z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