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29 грудня 2022 року</w:t>
        <w:tab/>
        <w:tab/>
        <w:tab/>
        <w:tab/>
        <w:tab/>
        <w:tab/>
        <w:tab/>
        <w:tab/>
        <w:tab/>
        <w:t xml:space="preserve">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262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Про затвердження висновку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про вартість майна для передачі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його в оренду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eastAsia="Calibri" w:cs="Times New Roman"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Затвердити висновок про вартість майна для передачі його в оренду,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астини нежитлового приміщення загальною площею 1 кв. м., вартістю 4168,00 грн. (чотири тисячі сто шістдесят вісім гривень 00 коп.),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розташованого за адресою: </w:t>
      </w:r>
      <w:r>
        <w:rPr>
          <w:rFonts w:cs="Times New Roman" w:ascii="Times New Roman" w:hAnsi="Times New Roman"/>
          <w:sz w:val="28"/>
          <w:szCs w:val="28"/>
          <w:lang w:val="uk-UA"/>
        </w:rPr>
        <w:t>вул. Покровська, 14, м. Решетилівка, Полтавського району, Полтавської області.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>Т.А. Малиш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1</Pages>
  <Words>144</Words>
  <Characters>982</Characters>
  <CharactersWithSpaces>1131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2022-02-15T11:36:00Z</cp:lastPrinted>
  <dcterms:modified xsi:type="dcterms:W3CDTF">2022-12-29T14:31:00Z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1049-11.2.0.11440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