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 квітня 2023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85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cs="Times New Roman"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-3-VІІ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 Передати в оренду (за результатами аукціону):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1) нежитлові приміщення, кімнати № 23, 24, загальною площею 50,20 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Освітянська, 6а, с-ще Покровське, Полтавського району, Полтавської області;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2) нежитлові приміщення, кімнати № 68, 69, загальною площею 18,2 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району, Полтавської області;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3) нежитлові приміщення, кімнати № 71, 72, 73, загальною площею 49,5 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 Включити до Переліку першого типу: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нежитлові приміщення, кімнати № 23, 24, загальною площею 50,20 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Освітянська, 6а, с-ще Покровське, Полтавського району, Полтавської області;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2) нежитлові приміщення, кімнати № 68, 69, загальною площею 18,2 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району, Полтавської області;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3) нежитлові приміщення, кімнати № 71, 72, 73, загальною площею 49,5 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3. При оголошенні аукціонів розмір річної орендної плати встановити на рівні 12 відсотків вартості об’єкта оренди.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ab/>
        <w:t>4. Відділу з юридичних питань та управління комунальним майном виконавчого комітету міської ради (Колотій Н.Ю.) провести процедуру передачі в оренду.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7140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>О.А. Дядюнова</w:t>
      </w:r>
    </w:p>
    <w:p>
      <w:pPr>
        <w:pStyle w:val="Normal"/>
        <w:tabs>
          <w:tab w:val="clear" w:pos="708"/>
          <w:tab w:val="left" w:pos="7140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LibreOffice/6.3.1.2$Windows_X86_64 LibreOffice_project/b79626edf0065ac373bd1df5c28bd630b4424273</Application>
  <Pages>2</Pages>
  <Words>290</Words>
  <Characters>1881</Characters>
  <CharactersWithSpaces>2246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2023-04-27T08:03:00Z</cp:lastPrinted>
  <dcterms:modified xsi:type="dcterms:W3CDTF">2023-04-27T16:04:38Z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1049-11.2.0.11536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