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17 травня 2023 року                                                                                         № 105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bookmarkStart w:id="2" w:name="_GoBack"/>
      <w:bookmarkStart w:id="3" w:name="_GoBack"/>
      <w:bookmarkEnd w:id="3"/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41, загальною площею 17,1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Покровська, 16,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першого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 41, загальною площею 17,1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Покровська, 16, м. Решетилівка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 При оголошенні аукціону розмір річної орендної плати встановити на рівні 12 відсотків вартості об’єкта оренди.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4. 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LibreOffice/6.3.1.2$Windows_X86_64 LibreOffice_project/b79626edf0065ac373bd1df5c28bd630b4424273</Application>
  <Pages>1</Pages>
  <Words>192</Words>
  <Characters>1283</Characters>
  <CharactersWithSpaces>1564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2023-03-02T13:18:00Z</cp:lastPrinted>
  <dcterms:modified xsi:type="dcterms:W3CDTF">2023-05-17T09:45:00Z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1049-11.2.0.11537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