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29 червня 2023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147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678" w:leader="none"/>
        </w:tabs>
        <w:spacing w:lineRule="auto" w:line="240" w:before="0" w:after="0"/>
        <w:ind w:right="5669" w:hang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затвердження висновку про вартість майна для передачі його в оренду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>приміщення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, загальною площею 80,9 м.кв., </w:t>
      </w:r>
      <w:r>
        <w:rPr>
          <w:rFonts w:cs="Times New Roman" w:ascii="Times New Roman" w:hAnsi="Times New Roman"/>
          <w:sz w:val="28"/>
          <w:szCs w:val="28"/>
          <w:lang w:val="uk-UA"/>
        </w:rPr>
        <w:t>вартістю 75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000,00 грн. (сімдесят п’ять тисяч гривень 00 коп.),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розташоване за адресою: вул. Перемоги, 94, с. Демидівка Полтавського району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1</Pages>
  <Words>140</Words>
  <Characters>959</Characters>
  <CharactersWithSpaces>1416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2022-02-15T11:36:00Z</cp:lastPrinted>
  <dcterms:modified xsi:type="dcterms:W3CDTF">2023-06-29T13:36:11Z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