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drawing>
          <wp:anchor behindDoc="0" distT="0" distB="0" distL="0" distR="5080" simplePos="0" locked="0" layoutInCell="1" allowOverlap="1" relativeHeight="2">
            <wp:simplePos x="0" y="0"/>
            <wp:positionH relativeFrom="column">
              <wp:posOffset>2896870</wp:posOffset>
            </wp:positionH>
            <wp:positionV relativeFrom="paragraph">
              <wp:posOffset>-236220</wp:posOffset>
            </wp:positionV>
            <wp:extent cx="433070" cy="61404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ВИКОНАВЧИЙ КОМІТЕТ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РІШЕННЯ</w:t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6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rPr/>
      </w:pPr>
      <w:r>
        <w:rPr>
          <w:rFonts w:cs="Times New Roman"/>
          <w:color w:val="000000"/>
          <w:sz w:val="28"/>
          <w:szCs w:val="28"/>
          <w:lang w:eastAsia="uk-UA"/>
        </w:rPr>
        <w:t xml:space="preserve">28 липня 2023 року                                                                                       № </w:t>
      </w:r>
      <w:r>
        <w:rPr>
          <w:rFonts w:cs="Times New Roman"/>
          <w:color w:val="000000"/>
          <w:sz w:val="28"/>
          <w:szCs w:val="28"/>
          <w:lang w:eastAsia="uk-UA"/>
        </w:rPr>
        <w:t>167</w:t>
      </w:r>
    </w:p>
    <w:p>
      <w:pPr>
        <w:pStyle w:val="Normal"/>
        <w:tabs>
          <w:tab w:val="clear" w:pos="708"/>
          <w:tab w:val="left" w:pos="96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96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/>
      </w:pPr>
      <w:r>
        <w:rPr>
          <w:rFonts w:cs="Times New Roman"/>
          <w:color w:val="000000"/>
          <w:sz w:val="28"/>
          <w:szCs w:val="28"/>
          <w:lang w:eastAsia="uk-UA"/>
        </w:rPr>
        <w:t>Про проведення повідомної реєстрації змін до Колективного договору філії „Решетилівська” ТОВ СП „НІБУЛОН”, а саме Додаткової угоди № 10 від 22.06.2023</w:t>
      </w:r>
    </w:p>
    <w:p>
      <w:pPr>
        <w:pStyle w:val="Normal"/>
        <w:tabs>
          <w:tab w:val="clear" w:pos="708"/>
          <w:tab w:val="left" w:pos="96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suppressAutoHyphens w:val="true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Керуючись підпунктом 9 пункту „б” частини першої статті 34 Закону України ,,Про місцеве самоврядування в Україні”, статтею 15 Кодексу законів про працю України, Порядком </w:t>
      </w:r>
      <w:r>
        <w:rPr>
          <w:rFonts w:eastAsia="SimSun" w:cs="Times New Roman"/>
          <w:bCs/>
          <w:sz w:val="28"/>
          <w:szCs w:val="28"/>
          <w:shd w:fill="FFFFFF" w:val="clear"/>
        </w:rPr>
        <w:t xml:space="preserve">повідомної реєстрації галузевих (міжгалузевих) і територіальних угод, колективних договорів, затверджених </w:t>
      </w:r>
      <w:r>
        <w:rPr>
          <w:rFonts w:cs="Times New Roman"/>
          <w:sz w:val="28"/>
          <w:szCs w:val="28"/>
        </w:rPr>
        <w:t>постановою Кабінету Міністрів України від 13.02.2013 № 115 (</w:t>
      </w:r>
      <w:r>
        <w:rPr>
          <w:rFonts w:eastAsia="SimSun" w:cs="Times New Roman"/>
          <w:sz w:val="28"/>
          <w:szCs w:val="28"/>
          <w:shd w:fill="FFFFFF" w:val="clear"/>
        </w:rPr>
        <w:t>в редакції постанови Кабінету Міністрів України від 21.08.2019 № 768)</w:t>
      </w:r>
      <w:r>
        <w:rPr>
          <w:rFonts w:cs="Times New Roman"/>
          <w:sz w:val="28"/>
          <w:szCs w:val="28"/>
        </w:rPr>
        <w:t xml:space="preserve">, розглянувши лист </w:t>
      </w:r>
      <w:bookmarkStart w:id="0" w:name="__DdeLink__329_3451913741"/>
      <w:bookmarkEnd w:id="0"/>
      <w:r>
        <w:rPr>
          <w:rFonts w:cs="Times New Roman"/>
          <w:color w:val="000000"/>
          <w:sz w:val="28"/>
          <w:szCs w:val="28"/>
          <w:lang w:eastAsia="uk-UA"/>
        </w:rPr>
        <w:t>філії „Решетилівська” ТОВ СП „НІБУЛОН” від 22.06.2023 № 85/115/2-23, виконавчий комітет</w:t>
      </w:r>
    </w:p>
    <w:p>
      <w:pPr>
        <w:pStyle w:val="Normal"/>
        <w:ind w:right="-283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ВИРІШИВ:</w:t>
      </w:r>
    </w:p>
    <w:p>
      <w:pPr>
        <w:pStyle w:val="Normal"/>
        <w:ind w:left="-284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>
      <w:pPr>
        <w:pStyle w:val="Normal"/>
        <w:tabs>
          <w:tab w:val="clear" w:pos="708"/>
          <w:tab w:val="left" w:pos="96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sz w:val="28"/>
          <w:szCs w:val="28"/>
        </w:rPr>
        <w:t xml:space="preserve">Провести повідомну реєстрацію </w:t>
      </w:r>
      <w:r>
        <w:rPr>
          <w:rFonts w:cs="Times New Roman"/>
          <w:color w:val="000000"/>
          <w:sz w:val="28"/>
          <w:szCs w:val="28"/>
          <w:lang w:eastAsia="uk-UA"/>
        </w:rPr>
        <w:t>змін до Колективного договору філії „Решетилівська” ТОВ СП „НІБУЛОН”, а саме Додаткової угоди № 10 від 22.06.2023.</w:t>
      </w:r>
    </w:p>
    <w:p>
      <w:pPr>
        <w:pStyle w:val="Normal"/>
        <w:tabs>
          <w:tab w:val="clear" w:pos="708"/>
          <w:tab w:val="left" w:pos="6540" w:leader="none"/>
          <w:tab w:val="left" w:pos="7200" w:leader="none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540" w:leader="none"/>
          <w:tab w:val="left" w:pos="7200" w:leader="none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540" w:leader="none"/>
          <w:tab w:val="left" w:pos="7200" w:leader="none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540" w:leader="none"/>
          <w:tab w:val="left" w:pos="7200" w:leader="none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540" w:leader="none"/>
          <w:tab w:val="left" w:pos="7200" w:leader="none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540" w:leader="none"/>
          <w:tab w:val="left" w:pos="7200" w:leader="none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>Міський голова</w:t>
        <w:tab/>
        <w:tab/>
        <w:t>О.А. Дядюнова</w:t>
      </w:r>
    </w:p>
    <w:p>
      <w:pPr>
        <w:pStyle w:val="Normal"/>
        <w:tabs>
          <w:tab w:val="clear" w:pos="708"/>
          <w:tab w:val="left" w:pos="6540" w:leader="none"/>
          <w:tab w:val="left" w:pos="7200" w:leader="none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540" w:leader="none"/>
          <w:tab w:val="left" w:pos="7200" w:leader="none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540" w:leader="none"/>
          <w:tab w:val="left" w:pos="7200" w:leader="none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540" w:leader="none"/>
          <w:tab w:val="left" w:pos="7200" w:leader="none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540" w:leader="none"/>
          <w:tab w:val="left" w:pos="7200" w:leader="none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540" w:leader="none"/>
          <w:tab w:val="left" w:pos="7200" w:leader="none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540" w:leader="none"/>
          <w:tab w:val="left" w:pos="7200" w:leader="none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540" w:leader="none"/>
          <w:tab w:val="left" w:pos="7200" w:leader="none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540" w:leader="none"/>
          <w:tab w:val="left" w:pos="7200" w:leader="none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540" w:leader="none"/>
          <w:tab w:val="left" w:pos="7200" w:leader="none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540" w:leader="none"/>
          <w:tab w:val="left" w:pos="7200" w:leader="none"/>
        </w:tabs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0052"/>
    <w:pPr>
      <w:widowControl/>
      <w:bidi w:val="0"/>
      <w:jc w:val="left"/>
    </w:pPr>
    <w:rPr>
      <w:rFonts w:ascii="Times New Roman" w:hAnsi="Times New Roman" w:eastAsia="Arial Unicode MS" w:cs="Arial Unicode MS"/>
      <w:color w:val="auto"/>
      <w:kern w:val="2"/>
      <w:sz w:val="24"/>
      <w:szCs w:val="24"/>
      <w:lang w:eastAsia="zh-CN" w:bidi="hi-IN"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635F-D703-48B9-80E0-DC7F9BEA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LibreOffice/6.3.1.2$Windows_X86_64 LibreOffice_project/b79626edf0065ac373bd1df5c28bd630b4424273</Application>
  <Pages>1</Pages>
  <Words>125</Words>
  <Characters>819</Characters>
  <CharactersWithSpaces>1022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2023-02-06T08:13:00Z</dcterms:created>
  <dc:creator>lesya_gorobec@ukr.net</dc:creator>
  <dc:description/>
  <dc:language>uk-UA</dc:language>
  <cp:lastModifiedBy/>
  <cp:lastPrinted>2023-07-28T10:30:00Z</cp:lastPrinted>
  <dcterms:modified xsi:type="dcterms:W3CDTF">2023-07-28T14:19:48Z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