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074ECC">
        <w:rPr>
          <w:b/>
          <w:sz w:val="28"/>
          <w:szCs w:val="28"/>
        </w:rPr>
        <w:t>4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01.0</w:t>
      </w:r>
      <w:r w:rsidR="00D12AD4">
        <w:rPr>
          <w:sz w:val="28"/>
          <w:szCs w:val="28"/>
        </w:rPr>
        <w:t>8</w:t>
      </w:r>
      <w:r w:rsidR="00F567AF">
        <w:rPr>
          <w:sz w:val="28"/>
          <w:szCs w:val="28"/>
        </w:rPr>
        <w:t>.20</w:t>
      </w:r>
      <w:r w:rsidR="00966A14">
        <w:rPr>
          <w:sz w:val="28"/>
          <w:szCs w:val="28"/>
        </w:rPr>
        <w:t>2</w:t>
      </w:r>
      <w:r w:rsidR="00FB45BB">
        <w:rPr>
          <w:sz w:val="28"/>
          <w:szCs w:val="28"/>
        </w:rPr>
        <w:t>3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2D3CFD">
        <w:rPr>
          <w:sz w:val="28"/>
          <w:szCs w:val="28"/>
        </w:rPr>
        <w:t xml:space="preserve"> за </w:t>
      </w:r>
      <w:r w:rsidR="00DD5940">
        <w:rPr>
          <w:sz w:val="28"/>
          <w:szCs w:val="28"/>
        </w:rPr>
        <w:t>7 місяців</w:t>
      </w:r>
      <w:r w:rsidR="00966A14">
        <w:rPr>
          <w:sz w:val="28"/>
          <w:szCs w:val="28"/>
        </w:rPr>
        <w:t xml:space="preserve"> 202</w:t>
      </w:r>
      <w:r w:rsidR="002D3CFD">
        <w:rPr>
          <w:sz w:val="28"/>
          <w:szCs w:val="28"/>
        </w:rPr>
        <w:t>3</w:t>
      </w:r>
      <w:r w:rsidR="00966A1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- </w:t>
      </w:r>
      <w:r w:rsidR="00EC3790">
        <w:rPr>
          <w:sz w:val="28"/>
          <w:szCs w:val="28"/>
        </w:rPr>
        <w:t>36558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EC3790">
        <w:rPr>
          <w:sz w:val="28"/>
          <w:szCs w:val="28"/>
        </w:rPr>
        <w:t>2559</w:t>
      </w:r>
      <w:r w:rsidR="00DB08EA">
        <w:rPr>
          <w:sz w:val="28"/>
          <w:szCs w:val="28"/>
        </w:rPr>
        <w:t xml:space="preserve"> </w:t>
      </w:r>
      <w:r>
        <w:rPr>
          <w:sz w:val="28"/>
          <w:szCs w:val="28"/>
        </w:rPr>
        <w:t>хво</w:t>
      </w:r>
      <w:r w:rsidR="00850F5D">
        <w:rPr>
          <w:sz w:val="28"/>
          <w:szCs w:val="28"/>
        </w:rPr>
        <w:t>рих</w:t>
      </w:r>
      <w:r>
        <w:rPr>
          <w:sz w:val="28"/>
          <w:szCs w:val="28"/>
        </w:rPr>
        <w:t xml:space="preserve">,  </w:t>
      </w:r>
      <w:r w:rsidR="00A5297F">
        <w:rPr>
          <w:sz w:val="28"/>
          <w:szCs w:val="28"/>
        </w:rPr>
        <w:t xml:space="preserve">виконано ліжко днів </w:t>
      </w:r>
      <w:r w:rsidR="00EC3790">
        <w:rPr>
          <w:sz w:val="28"/>
          <w:szCs w:val="28"/>
        </w:rPr>
        <w:t>18609</w:t>
      </w:r>
    </w:p>
    <w:p w:rsidR="009D7B1D" w:rsidRDefault="009A089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7">
        <w:rPr>
          <w:sz w:val="28"/>
          <w:szCs w:val="28"/>
        </w:rPr>
        <w:t xml:space="preserve">Надходження коштів </w:t>
      </w:r>
      <w:r w:rsidR="00C01D83">
        <w:rPr>
          <w:sz w:val="28"/>
          <w:szCs w:val="28"/>
        </w:rPr>
        <w:t xml:space="preserve">від НСЗУ </w:t>
      </w:r>
      <w:r>
        <w:rPr>
          <w:sz w:val="28"/>
          <w:szCs w:val="28"/>
        </w:rPr>
        <w:t xml:space="preserve"> за </w:t>
      </w:r>
      <w:r w:rsidR="00DD5940">
        <w:rPr>
          <w:sz w:val="28"/>
          <w:szCs w:val="28"/>
        </w:rPr>
        <w:t>7</w:t>
      </w:r>
      <w:r w:rsidR="00221E48">
        <w:rPr>
          <w:sz w:val="28"/>
          <w:szCs w:val="28"/>
        </w:rPr>
        <w:t xml:space="preserve"> місяців </w:t>
      </w:r>
      <w:r>
        <w:rPr>
          <w:sz w:val="28"/>
          <w:szCs w:val="28"/>
        </w:rPr>
        <w:t xml:space="preserve"> 20</w:t>
      </w:r>
      <w:r w:rsidR="00966A14">
        <w:rPr>
          <w:sz w:val="28"/>
          <w:szCs w:val="28"/>
        </w:rPr>
        <w:t>2</w:t>
      </w:r>
      <w:r w:rsidR="002D3CFD">
        <w:rPr>
          <w:sz w:val="28"/>
          <w:szCs w:val="28"/>
        </w:rPr>
        <w:t>3</w:t>
      </w:r>
      <w:r>
        <w:rPr>
          <w:sz w:val="28"/>
          <w:szCs w:val="28"/>
        </w:rPr>
        <w:t xml:space="preserve"> року становить  </w:t>
      </w:r>
      <w:r w:rsidR="00C01D83">
        <w:rPr>
          <w:sz w:val="28"/>
          <w:szCs w:val="28"/>
        </w:rPr>
        <w:t>18151,0</w:t>
      </w:r>
      <w:r>
        <w:rPr>
          <w:sz w:val="28"/>
          <w:szCs w:val="28"/>
        </w:rPr>
        <w:t xml:space="preserve"> тис. </w:t>
      </w:r>
      <w:r w:rsidRPr="00C04B1A">
        <w:rPr>
          <w:sz w:val="28"/>
          <w:szCs w:val="28"/>
        </w:rPr>
        <w:t>грн.</w:t>
      </w:r>
      <w:r w:rsidR="00C01D83">
        <w:rPr>
          <w:sz w:val="28"/>
          <w:szCs w:val="28"/>
        </w:rPr>
        <w:t xml:space="preserve">, касові видатки становлять  20246,2тис. грн., перевищення за рахунок залишку на початок року. План на рік за рахунок коштів місцевих  бюджетів 10246,9тис. грн.. касові </w:t>
      </w:r>
      <w:r w:rsidR="006E63B2">
        <w:rPr>
          <w:sz w:val="28"/>
          <w:szCs w:val="28"/>
        </w:rPr>
        <w:t xml:space="preserve"> видатки</w:t>
      </w:r>
      <w:r w:rsidRPr="00C04B1A">
        <w:rPr>
          <w:sz w:val="28"/>
          <w:szCs w:val="28"/>
        </w:rPr>
        <w:t xml:space="preserve"> </w:t>
      </w:r>
      <w:r w:rsidR="00410919" w:rsidRPr="00C04B1A">
        <w:rPr>
          <w:sz w:val="28"/>
          <w:szCs w:val="28"/>
        </w:rPr>
        <w:t xml:space="preserve">місцевих бюджетів </w:t>
      </w:r>
      <w:r w:rsidR="00C01D83">
        <w:rPr>
          <w:sz w:val="28"/>
          <w:szCs w:val="28"/>
        </w:rPr>
        <w:t>склали 6699,3</w:t>
      </w:r>
      <w:r w:rsidR="008E2607" w:rsidRPr="00C04B1A">
        <w:rPr>
          <w:sz w:val="28"/>
          <w:szCs w:val="28"/>
        </w:rPr>
        <w:t xml:space="preserve"> тис. грн.</w:t>
      </w:r>
      <w:r w:rsidR="00110B93" w:rsidRPr="00C04B1A">
        <w:rPr>
          <w:sz w:val="28"/>
          <w:szCs w:val="28"/>
        </w:rPr>
        <w:t xml:space="preserve"> </w:t>
      </w:r>
      <w:r w:rsidR="006E63B2">
        <w:rPr>
          <w:sz w:val="28"/>
          <w:szCs w:val="28"/>
        </w:rPr>
        <w:t xml:space="preserve"> </w:t>
      </w:r>
    </w:p>
    <w:p w:rsidR="002D0E42" w:rsidRDefault="00947E31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</w:t>
      </w:r>
      <w:r w:rsidR="00D12AD4">
        <w:rPr>
          <w:sz w:val="28"/>
          <w:szCs w:val="28"/>
        </w:rPr>
        <w:t>35940,0</w:t>
      </w:r>
      <w:r w:rsidR="002D3CFD">
        <w:rPr>
          <w:sz w:val="28"/>
          <w:szCs w:val="28"/>
        </w:rPr>
        <w:t>тис. грн..</w:t>
      </w:r>
      <w:r w:rsidR="005A04DF">
        <w:rPr>
          <w:sz w:val="28"/>
          <w:szCs w:val="28"/>
        </w:rPr>
        <w:t xml:space="preserve">( надходження від платних послуг становить </w:t>
      </w:r>
      <w:r w:rsidR="00D12AD4">
        <w:rPr>
          <w:sz w:val="28"/>
          <w:szCs w:val="28"/>
        </w:rPr>
        <w:t>1480,0</w:t>
      </w:r>
      <w:r w:rsidR="00967AF0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>тис. грн.)</w:t>
      </w:r>
      <w:r w:rsidR="002D3CFD">
        <w:rPr>
          <w:sz w:val="28"/>
          <w:szCs w:val="28"/>
        </w:rPr>
        <w:t xml:space="preserve">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 в т. ч. за рахунок бюджетних коштів» Очікувана сума доходів  від НСЗУ за медичне обслуговування населення за програмою медичних гарантій  </w:t>
      </w:r>
      <w:r w:rsidR="00D12AD4">
        <w:rPr>
          <w:sz w:val="28"/>
          <w:szCs w:val="28"/>
        </w:rPr>
        <w:t>34460,0</w:t>
      </w:r>
      <w:r w:rsidR="002D3CFD">
        <w:rPr>
          <w:sz w:val="28"/>
          <w:szCs w:val="28"/>
        </w:rPr>
        <w:t xml:space="preserve"> тис. грн.. </w:t>
      </w:r>
    </w:p>
    <w:p w:rsidR="00D12AD4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967AF0">
        <w:rPr>
          <w:sz w:val="28"/>
          <w:szCs w:val="28"/>
        </w:rPr>
        <w:t>17</w:t>
      </w:r>
      <w:r w:rsidR="00D12AD4">
        <w:rPr>
          <w:sz w:val="28"/>
          <w:szCs w:val="28"/>
        </w:rPr>
        <w:t>6</w:t>
      </w:r>
      <w:r w:rsidR="00967AF0">
        <w:rPr>
          <w:sz w:val="28"/>
          <w:szCs w:val="28"/>
        </w:rPr>
        <w:t>,</w:t>
      </w:r>
      <w:r w:rsidR="00D12AD4">
        <w:rPr>
          <w:sz w:val="28"/>
          <w:szCs w:val="28"/>
        </w:rPr>
        <w:t>0</w:t>
      </w:r>
      <w:r>
        <w:rPr>
          <w:sz w:val="28"/>
          <w:szCs w:val="28"/>
        </w:rPr>
        <w:t xml:space="preserve">тис. грн.. </w:t>
      </w:r>
    </w:p>
    <w:p w:rsidR="005A04DF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D12AD4">
        <w:rPr>
          <w:sz w:val="28"/>
          <w:szCs w:val="28"/>
        </w:rPr>
        <w:t>35764,0</w:t>
      </w:r>
      <w:r w:rsidR="00967AF0">
        <w:rPr>
          <w:sz w:val="28"/>
          <w:szCs w:val="28"/>
        </w:rPr>
        <w:t xml:space="preserve">  </w:t>
      </w:r>
      <w:r w:rsidR="005A04DF">
        <w:rPr>
          <w:sz w:val="28"/>
          <w:szCs w:val="28"/>
        </w:rPr>
        <w:t xml:space="preserve">тис. грн.. </w:t>
      </w:r>
    </w:p>
    <w:p w:rsidR="00D12AD4" w:rsidRDefault="005A04D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80    «Інші операційні доходи»  </w:t>
      </w:r>
      <w:r w:rsidR="00AD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12AD4">
        <w:rPr>
          <w:sz w:val="28"/>
          <w:szCs w:val="28"/>
        </w:rPr>
        <w:t>63,6</w:t>
      </w:r>
      <w:r>
        <w:rPr>
          <w:sz w:val="28"/>
          <w:szCs w:val="28"/>
        </w:rPr>
        <w:t xml:space="preserve">тис. грн.. </w:t>
      </w:r>
    </w:p>
    <w:p w:rsidR="00D12AD4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940C2A">
        <w:rPr>
          <w:sz w:val="28"/>
          <w:szCs w:val="28"/>
        </w:rPr>
        <w:t xml:space="preserve"> </w:t>
      </w:r>
      <w:r w:rsidR="00D12AD4">
        <w:rPr>
          <w:sz w:val="28"/>
          <w:szCs w:val="28"/>
        </w:rPr>
        <w:t>4800,00</w:t>
      </w:r>
      <w:r w:rsidR="00C95399">
        <w:rPr>
          <w:sz w:val="28"/>
          <w:szCs w:val="28"/>
        </w:rPr>
        <w:t xml:space="preserve">тис. грн..надходження з місцевого бюджету в т. ч. </w:t>
      </w:r>
    </w:p>
    <w:p w:rsidR="00D12AD4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комунальних послуг та енергоносіїв -</w:t>
      </w:r>
      <w:r w:rsidR="00D12AD4">
        <w:rPr>
          <w:sz w:val="28"/>
          <w:szCs w:val="28"/>
        </w:rPr>
        <w:t xml:space="preserve">  </w:t>
      </w:r>
      <w:r w:rsidR="006D3937">
        <w:rPr>
          <w:sz w:val="28"/>
          <w:szCs w:val="28"/>
        </w:rPr>
        <w:t>2943,2</w:t>
      </w:r>
      <w:r w:rsidR="00D12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грн.., </w:t>
      </w:r>
    </w:p>
    <w:p w:rsidR="00D12AD4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 харчування </w:t>
      </w:r>
      <w:r w:rsidR="00157A28">
        <w:rPr>
          <w:sz w:val="28"/>
          <w:szCs w:val="28"/>
        </w:rPr>
        <w:t>–</w:t>
      </w:r>
      <w:r w:rsidR="00D12AD4">
        <w:rPr>
          <w:sz w:val="28"/>
          <w:szCs w:val="28"/>
        </w:rPr>
        <w:t xml:space="preserve">  </w:t>
      </w:r>
      <w:r w:rsidR="006D3937">
        <w:rPr>
          <w:sz w:val="28"/>
          <w:szCs w:val="28"/>
        </w:rPr>
        <w:t>250,0</w:t>
      </w:r>
      <w:r w:rsidR="00D12AD4">
        <w:rPr>
          <w:sz w:val="28"/>
          <w:szCs w:val="28"/>
        </w:rPr>
        <w:t xml:space="preserve">  </w:t>
      </w:r>
      <w:r>
        <w:rPr>
          <w:sz w:val="28"/>
          <w:szCs w:val="28"/>
        </w:rPr>
        <w:t>тис. грн..,</w:t>
      </w:r>
    </w:p>
    <w:p w:rsidR="00D12AD4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медикаменти та вироби медичного призначення -</w:t>
      </w:r>
      <w:r w:rsidR="00D12AD4">
        <w:rPr>
          <w:sz w:val="28"/>
          <w:szCs w:val="28"/>
        </w:rPr>
        <w:t xml:space="preserve">  </w:t>
      </w:r>
      <w:r w:rsidR="006D3937">
        <w:rPr>
          <w:sz w:val="28"/>
          <w:szCs w:val="28"/>
        </w:rPr>
        <w:t>566,8</w:t>
      </w:r>
      <w:r w:rsidR="00D12AD4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грн.. ,</w:t>
      </w:r>
    </w:p>
    <w:p w:rsidR="00D12AD4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пільгових рецептів</w:t>
      </w:r>
      <w:r w:rsidR="006D3937">
        <w:rPr>
          <w:sz w:val="28"/>
          <w:szCs w:val="28"/>
        </w:rPr>
        <w:t xml:space="preserve"> та пільгового зубопротезування</w:t>
      </w:r>
      <w:r>
        <w:rPr>
          <w:sz w:val="28"/>
          <w:szCs w:val="28"/>
        </w:rPr>
        <w:t xml:space="preserve"> - </w:t>
      </w:r>
      <w:r w:rsidR="00D12AD4">
        <w:rPr>
          <w:sz w:val="28"/>
          <w:szCs w:val="28"/>
        </w:rPr>
        <w:t xml:space="preserve">  </w:t>
      </w:r>
      <w:r w:rsidR="006D3937">
        <w:rPr>
          <w:sz w:val="28"/>
          <w:szCs w:val="28"/>
        </w:rPr>
        <w:t>150,0</w:t>
      </w:r>
      <w:r w:rsidR="00D12A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тис. грн.,  </w:t>
      </w:r>
    </w:p>
    <w:p w:rsidR="00D12AD4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послуг крім комунальних </w:t>
      </w:r>
      <w:r w:rsidR="00D12AD4">
        <w:rPr>
          <w:sz w:val="28"/>
          <w:szCs w:val="28"/>
        </w:rPr>
        <w:t xml:space="preserve"> - </w:t>
      </w:r>
      <w:r w:rsidR="006D3937">
        <w:rPr>
          <w:sz w:val="28"/>
          <w:szCs w:val="28"/>
        </w:rPr>
        <w:t>290,0</w:t>
      </w:r>
      <w:r w:rsidR="00D12AD4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грн.. ,</w:t>
      </w:r>
    </w:p>
    <w:p w:rsidR="00A9538C" w:rsidRDefault="00157A28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 xml:space="preserve">оплата </w:t>
      </w:r>
      <w:r w:rsidR="006D3937">
        <w:rPr>
          <w:sz w:val="28"/>
          <w:szCs w:val="28"/>
        </w:rPr>
        <w:t xml:space="preserve">матеріалів, обладнання та інвентарю </w:t>
      </w:r>
      <w:r w:rsidR="00C95399">
        <w:rPr>
          <w:sz w:val="28"/>
          <w:szCs w:val="28"/>
        </w:rPr>
        <w:t xml:space="preserve"> -</w:t>
      </w:r>
      <w:r w:rsidR="00D12AD4">
        <w:rPr>
          <w:sz w:val="28"/>
          <w:szCs w:val="28"/>
        </w:rPr>
        <w:t xml:space="preserve">    </w:t>
      </w:r>
      <w:r w:rsidR="006D3937">
        <w:rPr>
          <w:sz w:val="28"/>
          <w:szCs w:val="28"/>
        </w:rPr>
        <w:t>600,0</w:t>
      </w:r>
      <w:r w:rsidR="00C95399">
        <w:rPr>
          <w:sz w:val="28"/>
          <w:szCs w:val="28"/>
        </w:rPr>
        <w:t xml:space="preserve">тис. грн.. </w:t>
      </w:r>
      <w:r>
        <w:rPr>
          <w:sz w:val="28"/>
          <w:szCs w:val="28"/>
        </w:rPr>
        <w:t xml:space="preserve">, </w:t>
      </w:r>
    </w:p>
    <w:p w:rsidR="00A9538C" w:rsidRDefault="00A9538C" w:rsidP="002D0E42">
      <w:pPr>
        <w:jc w:val="both"/>
        <w:rPr>
          <w:sz w:val="28"/>
          <w:szCs w:val="28"/>
        </w:rPr>
      </w:pP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A9538C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</w:t>
      </w:r>
      <w:r w:rsidR="00A9538C">
        <w:rPr>
          <w:sz w:val="28"/>
          <w:szCs w:val="28"/>
        </w:rPr>
        <w:t>:</w:t>
      </w:r>
      <w:r w:rsidR="00C95399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40621,6</w:t>
      </w:r>
      <w:r w:rsidR="00C95399">
        <w:rPr>
          <w:sz w:val="28"/>
          <w:szCs w:val="28"/>
        </w:rPr>
        <w:t xml:space="preserve"> 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161D37" w:rsidRPr="00A43938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310 «Матеріальні затрати» -</w:t>
      </w:r>
      <w:r w:rsidR="00221E48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5890,7</w:t>
      </w:r>
      <w:r w:rsidR="00C95399" w:rsidRPr="00CA63E3">
        <w:rPr>
          <w:sz w:val="28"/>
          <w:szCs w:val="28"/>
        </w:rPr>
        <w:t>тис. грн..</w:t>
      </w:r>
      <w:r w:rsidR="006D3937">
        <w:rPr>
          <w:sz w:val="28"/>
          <w:szCs w:val="28"/>
        </w:rPr>
        <w:t xml:space="preserve"> 5006,4</w:t>
      </w:r>
      <w:r w:rsidR="00A9538C" w:rsidRPr="00DB08EA">
        <w:rPr>
          <w:sz w:val="28"/>
          <w:szCs w:val="28"/>
        </w:rPr>
        <w:t xml:space="preserve"> </w:t>
      </w:r>
      <w:r w:rsidR="00161D37" w:rsidRPr="00A43938">
        <w:rPr>
          <w:sz w:val="28"/>
          <w:szCs w:val="28"/>
        </w:rPr>
        <w:t xml:space="preserve">в т. ч медикаменти </w:t>
      </w:r>
      <w:r w:rsidR="006D3937" w:rsidRPr="00A43938">
        <w:rPr>
          <w:sz w:val="28"/>
          <w:szCs w:val="28"/>
        </w:rPr>
        <w:t>2800,00</w:t>
      </w:r>
      <w:r w:rsidR="00161D37" w:rsidRPr="00A43938">
        <w:rPr>
          <w:sz w:val="28"/>
          <w:szCs w:val="28"/>
        </w:rPr>
        <w:t>тис. грн., продукти харчування</w:t>
      </w:r>
      <w:r w:rsidR="00A43938" w:rsidRPr="00A43938">
        <w:rPr>
          <w:sz w:val="28"/>
          <w:szCs w:val="28"/>
        </w:rPr>
        <w:t xml:space="preserve"> </w:t>
      </w:r>
      <w:r w:rsidR="00161D37" w:rsidRPr="00A43938">
        <w:rPr>
          <w:sz w:val="28"/>
          <w:szCs w:val="28"/>
        </w:rPr>
        <w:t>-</w:t>
      </w:r>
      <w:r w:rsidR="00A43938" w:rsidRPr="00A43938">
        <w:rPr>
          <w:sz w:val="28"/>
          <w:szCs w:val="28"/>
        </w:rPr>
        <w:t xml:space="preserve"> </w:t>
      </w:r>
      <w:r w:rsidR="006D3937" w:rsidRPr="00A43938">
        <w:rPr>
          <w:sz w:val="28"/>
          <w:szCs w:val="28"/>
        </w:rPr>
        <w:t>250,0</w:t>
      </w:r>
      <w:r w:rsidR="00161D37" w:rsidRPr="00A43938">
        <w:rPr>
          <w:sz w:val="28"/>
          <w:szCs w:val="28"/>
        </w:rPr>
        <w:t>тис. грн.,</w:t>
      </w:r>
      <w:r w:rsidR="00A43938" w:rsidRPr="00A43938">
        <w:rPr>
          <w:sz w:val="28"/>
          <w:szCs w:val="28"/>
        </w:rPr>
        <w:t xml:space="preserve"> </w:t>
      </w:r>
      <w:r w:rsidR="00161D37" w:rsidRPr="00A43938">
        <w:rPr>
          <w:sz w:val="28"/>
          <w:szCs w:val="28"/>
        </w:rPr>
        <w:t xml:space="preserve"> матеріали</w:t>
      </w:r>
      <w:r w:rsidR="00DB08EA" w:rsidRPr="00A43938">
        <w:rPr>
          <w:sz w:val="28"/>
          <w:szCs w:val="28"/>
        </w:rPr>
        <w:t xml:space="preserve"> </w:t>
      </w:r>
      <w:r w:rsidR="006D3937" w:rsidRPr="00A43938">
        <w:rPr>
          <w:sz w:val="28"/>
          <w:szCs w:val="28"/>
        </w:rPr>
        <w:t>–</w:t>
      </w:r>
      <w:r w:rsidR="00DB08EA" w:rsidRPr="00A43938">
        <w:rPr>
          <w:sz w:val="28"/>
          <w:szCs w:val="28"/>
        </w:rPr>
        <w:t xml:space="preserve"> </w:t>
      </w:r>
      <w:r w:rsidR="006D3937" w:rsidRPr="00A43938">
        <w:rPr>
          <w:sz w:val="28"/>
          <w:szCs w:val="28"/>
        </w:rPr>
        <w:t>1956,4</w:t>
      </w:r>
      <w:r w:rsidR="00161D37" w:rsidRPr="00A43938">
        <w:rPr>
          <w:sz w:val="28"/>
          <w:szCs w:val="28"/>
        </w:rPr>
        <w:t>тис. грн..</w:t>
      </w:r>
    </w:p>
    <w:p w:rsidR="00A9538C" w:rsidRDefault="00600A06" w:rsidP="002D0E42">
      <w:pPr>
        <w:jc w:val="both"/>
        <w:rPr>
          <w:sz w:val="28"/>
          <w:szCs w:val="28"/>
        </w:rPr>
      </w:pPr>
      <w:r w:rsidRPr="00A43938">
        <w:rPr>
          <w:sz w:val="28"/>
          <w:szCs w:val="28"/>
        </w:rPr>
        <w:t>Рядок 320 «Витрати на оплату праці» -</w:t>
      </w:r>
      <w:r w:rsidR="00A9538C" w:rsidRPr="00A43938">
        <w:rPr>
          <w:sz w:val="28"/>
          <w:szCs w:val="28"/>
        </w:rPr>
        <w:t>25210,1</w:t>
      </w:r>
      <w:r w:rsidR="0053262F" w:rsidRPr="00A43938">
        <w:rPr>
          <w:sz w:val="28"/>
          <w:szCs w:val="28"/>
        </w:rPr>
        <w:t xml:space="preserve">  </w:t>
      </w:r>
      <w:r w:rsidR="00C95399" w:rsidRPr="00A43938">
        <w:rPr>
          <w:sz w:val="28"/>
          <w:szCs w:val="28"/>
        </w:rPr>
        <w:t>тис. грн..</w:t>
      </w:r>
      <w:r w:rsidR="00C95399" w:rsidRPr="00CA63E3">
        <w:rPr>
          <w:sz w:val="28"/>
          <w:szCs w:val="28"/>
        </w:rPr>
        <w:t xml:space="preserve"> </w:t>
      </w:r>
    </w:p>
    <w:p w:rsidR="00A9538C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330 «Відрахування на соціальні заходи» -</w:t>
      </w:r>
      <w:r w:rsidR="00C95399" w:rsidRPr="00CA63E3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5067,5</w:t>
      </w:r>
      <w:r w:rsidR="00C95399" w:rsidRPr="00CA63E3">
        <w:rPr>
          <w:sz w:val="28"/>
          <w:szCs w:val="28"/>
        </w:rPr>
        <w:t xml:space="preserve"> тис. грн.. </w:t>
      </w:r>
    </w:p>
    <w:p w:rsidR="007A730F" w:rsidRPr="00CA63E3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340 «Амортизація» -</w:t>
      </w:r>
      <w:r w:rsidR="00BC3076" w:rsidRPr="00CA63E3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1714,4</w:t>
      </w:r>
      <w:r w:rsidR="00BC3076" w:rsidRPr="00CA63E3">
        <w:rPr>
          <w:sz w:val="28"/>
          <w:szCs w:val="28"/>
        </w:rPr>
        <w:t xml:space="preserve"> тис. грн.. </w:t>
      </w:r>
    </w:p>
    <w:p w:rsidR="00A9538C" w:rsidRDefault="007A730F" w:rsidP="00C96114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350 «Інші операційні витрати» 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2738,9</w:t>
      </w:r>
      <w:r w:rsidR="00791CDD">
        <w:rPr>
          <w:sz w:val="28"/>
          <w:szCs w:val="28"/>
        </w:rPr>
        <w:t xml:space="preserve"> тис. грн.. </w:t>
      </w:r>
      <w:r w:rsidR="006D3937">
        <w:rPr>
          <w:sz w:val="28"/>
          <w:szCs w:val="28"/>
        </w:rPr>
        <w:t>3623,2</w:t>
      </w:r>
    </w:p>
    <w:p w:rsidR="00C96114" w:rsidRDefault="00BC3076" w:rsidP="00C96114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 xml:space="preserve">тис. грн.. </w:t>
      </w:r>
      <w:r w:rsidR="00161D37" w:rsidRPr="00CA63E3">
        <w:rPr>
          <w:sz w:val="28"/>
          <w:szCs w:val="28"/>
        </w:rPr>
        <w:t>в тому числі</w:t>
      </w:r>
      <w:r w:rsidR="00FF16FF" w:rsidRPr="00CA63E3">
        <w:rPr>
          <w:sz w:val="28"/>
          <w:szCs w:val="28"/>
        </w:rPr>
        <w:t xml:space="preserve"> оплата комунальн</w:t>
      </w:r>
      <w:r w:rsidR="004F0CFE" w:rsidRPr="00CA63E3">
        <w:rPr>
          <w:sz w:val="28"/>
          <w:szCs w:val="28"/>
        </w:rPr>
        <w:t xml:space="preserve">их послуг </w:t>
      </w:r>
      <w:r w:rsidR="004F0CFE" w:rsidRPr="00A43938">
        <w:rPr>
          <w:sz w:val="28"/>
          <w:szCs w:val="28"/>
        </w:rPr>
        <w:t xml:space="preserve">та енергоносіїв </w:t>
      </w:r>
      <w:r w:rsidR="006A5996" w:rsidRPr="00A43938">
        <w:rPr>
          <w:sz w:val="28"/>
          <w:szCs w:val="28"/>
        </w:rPr>
        <w:t>–</w:t>
      </w:r>
      <w:r w:rsidR="00791CDD" w:rsidRPr="00A43938">
        <w:rPr>
          <w:sz w:val="28"/>
          <w:szCs w:val="28"/>
        </w:rPr>
        <w:t xml:space="preserve"> </w:t>
      </w:r>
      <w:r w:rsidR="006A5996" w:rsidRPr="00A43938">
        <w:rPr>
          <w:sz w:val="28"/>
          <w:szCs w:val="28"/>
        </w:rPr>
        <w:t>2943,2</w:t>
      </w:r>
      <w:r w:rsidR="00A43938" w:rsidRPr="00A43938">
        <w:rPr>
          <w:sz w:val="28"/>
          <w:szCs w:val="28"/>
        </w:rPr>
        <w:t xml:space="preserve"> </w:t>
      </w:r>
      <w:r w:rsidR="00FF16FF" w:rsidRPr="00A43938">
        <w:rPr>
          <w:sz w:val="28"/>
          <w:szCs w:val="28"/>
        </w:rPr>
        <w:t xml:space="preserve">тис. грн., оплата послуг (крім комунальних) </w:t>
      </w:r>
      <w:r w:rsidR="003B3D4A" w:rsidRPr="00A43938">
        <w:rPr>
          <w:sz w:val="28"/>
          <w:szCs w:val="28"/>
        </w:rPr>
        <w:t>–</w:t>
      </w:r>
      <w:r w:rsidR="00FF16FF" w:rsidRPr="00A43938">
        <w:rPr>
          <w:sz w:val="28"/>
          <w:szCs w:val="28"/>
        </w:rPr>
        <w:t xml:space="preserve"> </w:t>
      </w:r>
      <w:r w:rsidR="006D3937" w:rsidRPr="00A43938">
        <w:rPr>
          <w:sz w:val="28"/>
          <w:szCs w:val="28"/>
        </w:rPr>
        <w:t>290,0</w:t>
      </w:r>
      <w:r w:rsidR="00FF16FF" w:rsidRPr="00A43938">
        <w:rPr>
          <w:sz w:val="28"/>
          <w:szCs w:val="28"/>
        </w:rPr>
        <w:t xml:space="preserve">тис. грн.., </w:t>
      </w:r>
      <w:r w:rsidR="00C96114" w:rsidRPr="00A43938">
        <w:rPr>
          <w:sz w:val="28"/>
          <w:szCs w:val="28"/>
        </w:rPr>
        <w:t>пільгові пенсії -</w:t>
      </w:r>
      <w:r w:rsidRPr="00A43938">
        <w:rPr>
          <w:sz w:val="28"/>
          <w:szCs w:val="28"/>
        </w:rPr>
        <w:t>240,0</w:t>
      </w:r>
      <w:r w:rsidR="00C96114" w:rsidRPr="00A43938">
        <w:rPr>
          <w:sz w:val="28"/>
          <w:szCs w:val="28"/>
        </w:rPr>
        <w:t xml:space="preserve">тис. грн., пільгові рецепти на медикаменти та пільгове зубопротезування </w:t>
      </w:r>
      <w:r w:rsidR="003B3D4A" w:rsidRPr="00A43938">
        <w:rPr>
          <w:sz w:val="28"/>
          <w:szCs w:val="28"/>
        </w:rPr>
        <w:t>–</w:t>
      </w:r>
      <w:r w:rsidR="00C96114" w:rsidRPr="00A43938">
        <w:rPr>
          <w:sz w:val="28"/>
          <w:szCs w:val="28"/>
        </w:rPr>
        <w:t xml:space="preserve"> </w:t>
      </w:r>
      <w:r w:rsidR="006A5996" w:rsidRPr="00A43938">
        <w:rPr>
          <w:sz w:val="28"/>
          <w:szCs w:val="28"/>
        </w:rPr>
        <w:t>150,</w:t>
      </w:r>
      <w:r w:rsidR="00C96114" w:rsidRPr="00A43938">
        <w:rPr>
          <w:sz w:val="28"/>
          <w:szCs w:val="28"/>
        </w:rPr>
        <w:t>тис. грн..</w:t>
      </w:r>
      <w:r w:rsidR="00C96114">
        <w:rPr>
          <w:sz w:val="28"/>
          <w:szCs w:val="28"/>
        </w:rPr>
        <w:t xml:space="preserve"> </w:t>
      </w:r>
    </w:p>
    <w:p w:rsidR="007A730F" w:rsidRDefault="00FF16F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послуг)-</w:t>
      </w:r>
      <w:r w:rsidR="00A9538C">
        <w:rPr>
          <w:sz w:val="28"/>
          <w:szCs w:val="28"/>
        </w:rPr>
        <w:t>36181,8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5730,1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21741,5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4370,5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CA63E3">
        <w:rPr>
          <w:sz w:val="28"/>
          <w:szCs w:val="28"/>
        </w:rPr>
        <w:t xml:space="preserve">- </w:t>
      </w:r>
      <w:r w:rsidR="00A9538C">
        <w:rPr>
          <w:sz w:val="28"/>
          <w:szCs w:val="28"/>
        </w:rPr>
        <w:t>1691,2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2647,5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4439,8</w:t>
      </w:r>
      <w:r w:rsidR="00C96114">
        <w:rPr>
          <w:sz w:val="28"/>
          <w:szCs w:val="28"/>
        </w:rPr>
        <w:t>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160,6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3468,6</w:t>
      </w:r>
      <w:r>
        <w:rPr>
          <w:sz w:val="28"/>
          <w:szCs w:val="28"/>
        </w:rPr>
        <w:t>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697,0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791CDD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23,2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A9538C">
        <w:rPr>
          <w:sz w:val="28"/>
          <w:szCs w:val="28"/>
        </w:rPr>
        <w:t>90,4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</w:t>
      </w:r>
      <w:r w:rsidR="00791CDD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6,0тис.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</w:p>
    <w:p w:rsidR="00C04B1A" w:rsidRDefault="00C04B1A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3B2" w:rsidRDefault="006E63B2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C04B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31FD9"/>
    <w:rsid w:val="00072F16"/>
    <w:rsid w:val="00074ECC"/>
    <w:rsid w:val="00081E01"/>
    <w:rsid w:val="000B5888"/>
    <w:rsid w:val="000B6718"/>
    <w:rsid w:val="000B754D"/>
    <w:rsid w:val="000C018D"/>
    <w:rsid w:val="000E78CD"/>
    <w:rsid w:val="00103303"/>
    <w:rsid w:val="00110827"/>
    <w:rsid w:val="00110B93"/>
    <w:rsid w:val="00134C49"/>
    <w:rsid w:val="0013641F"/>
    <w:rsid w:val="00157A28"/>
    <w:rsid w:val="00161D37"/>
    <w:rsid w:val="00162B15"/>
    <w:rsid w:val="00196342"/>
    <w:rsid w:val="001B4187"/>
    <w:rsid w:val="001B61C4"/>
    <w:rsid w:val="001C6A11"/>
    <w:rsid w:val="00210C7F"/>
    <w:rsid w:val="00221E48"/>
    <w:rsid w:val="0023451E"/>
    <w:rsid w:val="00237616"/>
    <w:rsid w:val="00282193"/>
    <w:rsid w:val="002D0E42"/>
    <w:rsid w:val="002D3CFD"/>
    <w:rsid w:val="002D49C4"/>
    <w:rsid w:val="00301720"/>
    <w:rsid w:val="0030752C"/>
    <w:rsid w:val="003740F8"/>
    <w:rsid w:val="00392143"/>
    <w:rsid w:val="00392697"/>
    <w:rsid w:val="0039314A"/>
    <w:rsid w:val="003B3D4A"/>
    <w:rsid w:val="003C4B5F"/>
    <w:rsid w:val="003F516B"/>
    <w:rsid w:val="004038A7"/>
    <w:rsid w:val="00410919"/>
    <w:rsid w:val="0047798D"/>
    <w:rsid w:val="004E4C03"/>
    <w:rsid w:val="004E7439"/>
    <w:rsid w:val="004F0CFE"/>
    <w:rsid w:val="0050521E"/>
    <w:rsid w:val="0053262F"/>
    <w:rsid w:val="005531E4"/>
    <w:rsid w:val="0057317E"/>
    <w:rsid w:val="00591081"/>
    <w:rsid w:val="005912FF"/>
    <w:rsid w:val="005A04DF"/>
    <w:rsid w:val="005B1C03"/>
    <w:rsid w:val="005B2D17"/>
    <w:rsid w:val="005E4305"/>
    <w:rsid w:val="00600A06"/>
    <w:rsid w:val="00601098"/>
    <w:rsid w:val="00611A71"/>
    <w:rsid w:val="00616A3E"/>
    <w:rsid w:val="00620A03"/>
    <w:rsid w:val="00631A3A"/>
    <w:rsid w:val="00696EB8"/>
    <w:rsid w:val="006A5996"/>
    <w:rsid w:val="006D3937"/>
    <w:rsid w:val="006E0278"/>
    <w:rsid w:val="006E63B2"/>
    <w:rsid w:val="006E6F15"/>
    <w:rsid w:val="006F2482"/>
    <w:rsid w:val="00764858"/>
    <w:rsid w:val="00787027"/>
    <w:rsid w:val="00791CDD"/>
    <w:rsid w:val="007929E9"/>
    <w:rsid w:val="007A730F"/>
    <w:rsid w:val="007C6428"/>
    <w:rsid w:val="007E40E2"/>
    <w:rsid w:val="007E43A6"/>
    <w:rsid w:val="007F4BA9"/>
    <w:rsid w:val="00822448"/>
    <w:rsid w:val="00842CDC"/>
    <w:rsid w:val="00850F5D"/>
    <w:rsid w:val="0088715F"/>
    <w:rsid w:val="008B0327"/>
    <w:rsid w:val="008B0CE9"/>
    <w:rsid w:val="008D3424"/>
    <w:rsid w:val="008E2607"/>
    <w:rsid w:val="009370CF"/>
    <w:rsid w:val="00940C2A"/>
    <w:rsid w:val="00947E31"/>
    <w:rsid w:val="0095654A"/>
    <w:rsid w:val="00966A14"/>
    <w:rsid w:val="00967AF0"/>
    <w:rsid w:val="00996004"/>
    <w:rsid w:val="009A089D"/>
    <w:rsid w:val="009B24C4"/>
    <w:rsid w:val="009D6B79"/>
    <w:rsid w:val="009D7B1D"/>
    <w:rsid w:val="009F1920"/>
    <w:rsid w:val="009F51EC"/>
    <w:rsid w:val="00A43938"/>
    <w:rsid w:val="00A5297F"/>
    <w:rsid w:val="00A64FA7"/>
    <w:rsid w:val="00A9538C"/>
    <w:rsid w:val="00A964DE"/>
    <w:rsid w:val="00AA6200"/>
    <w:rsid w:val="00AC302B"/>
    <w:rsid w:val="00AC69DB"/>
    <w:rsid w:val="00AD7E56"/>
    <w:rsid w:val="00AE1E7E"/>
    <w:rsid w:val="00AF1FE4"/>
    <w:rsid w:val="00B30EEC"/>
    <w:rsid w:val="00B801DF"/>
    <w:rsid w:val="00B90CC3"/>
    <w:rsid w:val="00BA6325"/>
    <w:rsid w:val="00BC3076"/>
    <w:rsid w:val="00BE68E5"/>
    <w:rsid w:val="00C01D83"/>
    <w:rsid w:val="00C0281E"/>
    <w:rsid w:val="00C04B1A"/>
    <w:rsid w:val="00C72CE8"/>
    <w:rsid w:val="00C8611E"/>
    <w:rsid w:val="00C95399"/>
    <w:rsid w:val="00C96114"/>
    <w:rsid w:val="00CA1820"/>
    <w:rsid w:val="00CA63E3"/>
    <w:rsid w:val="00CA6810"/>
    <w:rsid w:val="00CC4690"/>
    <w:rsid w:val="00CD61E4"/>
    <w:rsid w:val="00D023E3"/>
    <w:rsid w:val="00D058B9"/>
    <w:rsid w:val="00D12AD4"/>
    <w:rsid w:val="00D13B6B"/>
    <w:rsid w:val="00D1508D"/>
    <w:rsid w:val="00D76A06"/>
    <w:rsid w:val="00D8783E"/>
    <w:rsid w:val="00D87F01"/>
    <w:rsid w:val="00D9084C"/>
    <w:rsid w:val="00DA6956"/>
    <w:rsid w:val="00DB08EA"/>
    <w:rsid w:val="00DD2E47"/>
    <w:rsid w:val="00DD5940"/>
    <w:rsid w:val="00DF70B4"/>
    <w:rsid w:val="00E03CF1"/>
    <w:rsid w:val="00E223D3"/>
    <w:rsid w:val="00E301CF"/>
    <w:rsid w:val="00E53F6F"/>
    <w:rsid w:val="00E72C84"/>
    <w:rsid w:val="00E85B33"/>
    <w:rsid w:val="00EB4128"/>
    <w:rsid w:val="00EC075E"/>
    <w:rsid w:val="00EC3790"/>
    <w:rsid w:val="00EE3987"/>
    <w:rsid w:val="00F15AF4"/>
    <w:rsid w:val="00F35CDB"/>
    <w:rsid w:val="00F56681"/>
    <w:rsid w:val="00F567AF"/>
    <w:rsid w:val="00F751C1"/>
    <w:rsid w:val="00F82F1E"/>
    <w:rsid w:val="00F86914"/>
    <w:rsid w:val="00FB45BB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34EE-3F02-48FD-87E4-FD7EE2A9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9</cp:revision>
  <cp:lastPrinted>2023-08-28T05:42:00Z</cp:lastPrinted>
  <dcterms:created xsi:type="dcterms:W3CDTF">2023-08-25T05:53:00Z</dcterms:created>
  <dcterms:modified xsi:type="dcterms:W3CDTF">2023-08-28T05:43:00Z</dcterms:modified>
</cp:coreProperties>
</file>