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17" w:rsidRDefault="001D0169">
      <w:pPr>
        <w:pStyle w:val="Standard"/>
        <w:jc w:val="center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61" t="-1105" r="-1561" b="-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D17" w:rsidRDefault="00ED4D17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ED4D17" w:rsidRDefault="001D0169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РЕШЕТИЛІВСЬКА МІСЬКА РАДА</w:t>
      </w:r>
    </w:p>
    <w:p w:rsidR="00ED4D17" w:rsidRDefault="001D0169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ПОЛТАВСЬКОЇ ОБЛАСТІ</w:t>
      </w:r>
    </w:p>
    <w:p w:rsidR="00ED4D17" w:rsidRDefault="001D0169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п’ятдес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ята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позачергова сесія восьмого скликання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ED4D17" w:rsidRDefault="00ED4D17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4D17" w:rsidRDefault="001D0169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D4D17" w:rsidRDefault="00ED4D17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</w:p>
    <w:tbl>
      <w:tblPr>
        <w:tblW w:w="10035" w:type="dxa"/>
        <w:tblInd w:w="-81" w:type="dxa"/>
        <w:tblLook w:val="0000" w:firstRow="0" w:lastRow="0" w:firstColumn="0" w:lastColumn="0" w:noHBand="0" w:noVBand="0"/>
      </w:tblPr>
      <w:tblGrid>
        <w:gridCol w:w="7875"/>
        <w:gridCol w:w="2160"/>
      </w:tblGrid>
      <w:tr w:rsidR="00ED4D17">
        <w:trPr>
          <w:trHeight w:val="307"/>
        </w:trPr>
        <w:tc>
          <w:tcPr>
            <w:tcW w:w="7874" w:type="dxa"/>
            <w:shd w:val="clear" w:color="auto" w:fill="auto"/>
          </w:tcPr>
          <w:p w:rsidR="00ED4D17" w:rsidRDefault="001D0169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31 жовтня 2024 року                     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Решетилівка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D4D17" w:rsidRDefault="001D0169" w:rsidP="00E7189C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№</w:t>
            </w:r>
            <w:r w:rsidR="00E7189C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2031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-50-VIII</w:t>
            </w:r>
          </w:p>
        </w:tc>
      </w:tr>
    </w:tbl>
    <w:p w:rsidR="00ED4D17" w:rsidRDefault="00ED4D17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4D17" w:rsidRDefault="001D0169">
      <w:pPr>
        <w:pStyle w:val="Standard"/>
        <w:ind w:right="4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звернення депутатів Решетилівської міської ради до Президента України</w:t>
      </w:r>
      <w:r w:rsidR="00F0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="00F02610" w:rsidRPr="00F0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2610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="00F02610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F0261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026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02610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F0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2610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щодо підтримки </w:t>
      </w:r>
      <w:r w:rsidR="00F0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Плану перемоги</w:t>
      </w:r>
    </w:p>
    <w:p w:rsidR="00ED4D17" w:rsidRDefault="00ED4D17">
      <w:pPr>
        <w:pStyle w:val="Standard"/>
        <w:jc w:val="both"/>
        <w:rPr>
          <w:color w:val="C9211E"/>
          <w:sz w:val="28"/>
          <w:szCs w:val="28"/>
          <w:lang w:val="uk-UA"/>
        </w:rPr>
      </w:pPr>
    </w:p>
    <w:p w:rsidR="00ED4D17" w:rsidRDefault="001D0169" w:rsidP="00367B63">
      <w:pPr>
        <w:pStyle w:val="Textbodyindent"/>
        <w:shd w:val="clear" w:color="auto" w:fill="FFFFFF" w:themeFill="background1"/>
        <w:tabs>
          <w:tab w:val="left" w:pos="73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”, з 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урядами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ними Плану перемоги,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Решетилівська міська рада</w:t>
      </w:r>
    </w:p>
    <w:p w:rsidR="00ED4D17" w:rsidRDefault="001D0169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ED4D17" w:rsidRDefault="00ED4D1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D4D17" w:rsidRDefault="001D0169" w:rsidP="00367B6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Решетилівської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до Президента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 перемоги,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4D17" w:rsidRDefault="001D0169" w:rsidP="00367B63">
      <w:pPr>
        <w:shd w:val="clear" w:color="auto" w:fill="FFFFFF"/>
        <w:ind w:firstLine="567"/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організаційно-інформаційної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документообігу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Мірошник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Оксана)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адресу Президента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4D17" w:rsidRPr="00A168FF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ru-RU" w:eastAsia="uk-UA"/>
        </w:rPr>
      </w:pPr>
    </w:p>
    <w:p w:rsidR="00A168FF" w:rsidRPr="00E7189C" w:rsidRDefault="00A168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ru-RU" w:eastAsia="uk-UA"/>
        </w:rPr>
      </w:pPr>
    </w:p>
    <w:p w:rsidR="00A168FF" w:rsidRPr="00E7189C" w:rsidRDefault="00A168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ru-RU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1D01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>Міський голова                                                                           Оксана  ДЯДЮНОВА</w:t>
      </w: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3B6647" w:rsidRDefault="003B664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sectPr w:rsidR="003B6647" w:rsidSect="003B6647">
          <w:headerReference w:type="default" r:id="rId9"/>
          <w:pgSz w:w="12240" w:h="15840"/>
          <w:pgMar w:top="1134" w:right="567" w:bottom="709" w:left="1701" w:header="0" w:footer="0" w:gutter="0"/>
          <w:cols w:space="720"/>
          <w:formProt w:val="0"/>
          <w:titlePg/>
          <w:docGrid w:linePitch="326"/>
        </w:sectPr>
      </w:pP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2"/>
        <w:gridCol w:w="4536"/>
      </w:tblGrid>
      <w:tr w:rsidR="00ED4D17" w:rsidRPr="00E7189C" w:rsidTr="00367B63">
        <w:tc>
          <w:tcPr>
            <w:tcW w:w="5442" w:type="dxa"/>
            <w:shd w:val="clear" w:color="auto" w:fill="auto"/>
          </w:tcPr>
          <w:p w:rsidR="00ED4D17" w:rsidRDefault="00ED4D17">
            <w:pPr>
              <w:pStyle w:val="ac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367B63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</w:t>
            </w:r>
          </w:p>
          <w:p w:rsidR="00ED4D17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рішення</w:t>
            </w:r>
            <w:r w:rsidR="00367B6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Решетилівської</w:t>
            </w:r>
          </w:p>
          <w:p w:rsidR="00ED4D17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</w:t>
            </w:r>
            <w:r w:rsidR="00367B6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восьмого скликання</w:t>
            </w:r>
          </w:p>
          <w:p w:rsidR="00ED4D17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 w:rsidR="00367B6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жовтня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 року</w:t>
            </w:r>
          </w:p>
          <w:p w:rsidR="00ED4D17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  <w:r w:rsidR="00E718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-50-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VIII</w:t>
            </w:r>
          </w:p>
          <w:p w:rsidR="00ED4D17" w:rsidRDefault="001D0169" w:rsidP="00367B63">
            <w:pPr>
              <w:pStyle w:val="ac"/>
              <w:ind w:left="2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1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позачергова сесія)</w:t>
            </w:r>
          </w:p>
        </w:tc>
      </w:tr>
    </w:tbl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ED4D17" w:rsidRPr="001D0169" w:rsidRDefault="001D01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ЗВЕРНЕННЯ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4D17" w:rsidRPr="001D0169" w:rsidRDefault="001D01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Решетилівської міської</w:t>
      </w:r>
      <w:r>
        <w:rPr>
          <w:rFonts w:ascii="Times New Roman" w:hAnsi="Times New Roman"/>
          <w:sz w:val="28"/>
          <w:szCs w:val="28"/>
          <w:lang w:val="ru-RU"/>
        </w:rPr>
        <w:t xml:space="preserve"> ради до Президента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Плану перемоги,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представленого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Президентом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Зеленським</w:t>
      </w:r>
      <w:proofErr w:type="spellEnd"/>
    </w:p>
    <w:p w:rsidR="00ED4D17" w:rsidRDefault="00ED4D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переживає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найскладніший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часу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Незалежності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зробили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сильнішими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об’єднаними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боротьбі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ворога,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готовими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ішучих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прагненні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відстояти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права на волю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незалежність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цілісність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суверенітет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 свою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культуру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традиції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дивлячись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занадто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високу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доводиться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платити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втрачаючи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воїні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позицію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ворог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переможеним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цієї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Перемоги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консолідованими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внутрішні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зовнішні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План перемоги, представлений Президентом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Зеленським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Верховній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США,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європейських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найважливішими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союзниками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Європейської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ішучих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кроків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переломити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триває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 перемоги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план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стабільності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країн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План перемоги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комплекс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злагоджених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всієї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євроатлантичної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ab/>
        <w:t xml:space="preserve">Перший пункт </w:t>
      </w:r>
      <w:r>
        <w:rPr>
          <w:rFonts w:ascii="Times New Roman" w:hAnsi="Times New Roman"/>
          <w:sz w:val="28"/>
          <w:szCs w:val="28"/>
          <w:lang w:val="ru-RU"/>
        </w:rPr>
        <w:t xml:space="preserve">Плану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стосується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геополітичної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перспективи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запрошення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НАТО.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довели,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захищати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себе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демократичні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вступу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НАТО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майбутн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євроінтеграцією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утвердженням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демократії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Другий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пункт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незворотне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оборони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агресора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наших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позицій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бою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Третій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пункт </w:t>
      </w:r>
      <w:r>
        <w:rPr>
          <w:rFonts w:ascii="Times New Roman" w:hAnsi="Times New Roman"/>
          <w:sz w:val="28"/>
          <w:szCs w:val="28"/>
          <w:lang w:val="ru-RU"/>
        </w:rPr>
        <w:t xml:space="preserve">Плану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комплексного неядерного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стратегічного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пакету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стримування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достатнім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будь-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воєнної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загрози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боку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агресора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Четвертий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пункт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стосується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потенціалу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стратегічними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партнерами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угоди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наявних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країн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критичних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інвестування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потенціалу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П’ятий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пункт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розрахований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іслявоєнний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матиме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досвідчених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великих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військових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контингентів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Українці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володітимуть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r w:rsidR="00302737">
        <w:rPr>
          <w:rFonts w:ascii="Times New Roman" w:hAnsi="Times New Roman"/>
          <w:sz w:val="28"/>
          <w:szCs w:val="28"/>
          <w:lang w:val="ru-RU"/>
        </w:rPr>
        <w:t>еальним</w:t>
      </w:r>
      <w:proofErr w:type="spellEnd"/>
      <w:r w:rsidR="00302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737">
        <w:rPr>
          <w:rFonts w:ascii="Times New Roman" w:hAnsi="Times New Roman"/>
          <w:sz w:val="28"/>
          <w:szCs w:val="28"/>
          <w:lang w:val="ru-RU"/>
        </w:rPr>
        <w:t>досвідом</w:t>
      </w:r>
      <w:proofErr w:type="spellEnd"/>
      <w:r w:rsidR="00302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737">
        <w:rPr>
          <w:rFonts w:ascii="Times New Roman" w:hAnsi="Times New Roman"/>
          <w:sz w:val="28"/>
          <w:szCs w:val="28"/>
          <w:lang w:val="ru-RU"/>
        </w:rPr>
        <w:t>сучасної</w:t>
      </w:r>
      <w:proofErr w:type="spellEnd"/>
      <w:r w:rsidR="003027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737"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 w:rsidR="00302737">
        <w:rPr>
          <w:rFonts w:ascii="Times New Roman" w:hAnsi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</w:t>
      </w:r>
      <w:r w:rsidR="00302737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західної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зброї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військовими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НАТО. План перемоги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закликає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рішучості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союзників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прагне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чесного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справедливого миру, а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поступок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замороження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Лише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продемонструє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авторитарним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диктаторам,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загарбницьких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воєн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минув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демократичний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здатен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захищати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цінності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Коли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підступний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жорстокий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ворог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намагається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знищити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нас і нашу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розколоти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суспільство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шантаж, погрози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дезінформацію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міжнародній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маємо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ніколи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згуртованими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об’єднаними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навколо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однієї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мети. Мета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ус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одна,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наша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Перемога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справедливий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мир.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Решетилівська міська</w:t>
      </w:r>
      <w:r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цілковито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 перемоги, представлений Президентом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країн-партнері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первинне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рушійна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сила,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об’єднати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зусилля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потенціал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Перемоги, миру,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укріплення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демократії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верховенства права.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політичні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Решетилівської міської ради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об’єднані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єдиному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прагненні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Перемоги і миру,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звертаємось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проханням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національними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урядами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</w:t>
      </w:r>
      <w:r w:rsidR="00D8000E">
        <w:rPr>
          <w:rFonts w:ascii="Times New Roman" w:hAnsi="Times New Roman"/>
          <w:sz w:val="28"/>
          <w:szCs w:val="28"/>
          <w:lang w:val="ru-RU"/>
        </w:rPr>
        <w:t>-партнерів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вступу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НАТО та Плану перемоги,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представленого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Президентом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Зеленським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Pr="001D0169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Сподіваємося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буде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партнерами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реалізований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4D17" w:rsidRDefault="001D0169" w:rsidP="00367B63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Віримо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Перемогу!</w:t>
      </w:r>
    </w:p>
    <w:sectPr w:rsidR="00ED4D17" w:rsidSect="003B6647">
      <w:pgSz w:w="12240" w:h="15840"/>
      <w:pgMar w:top="1134" w:right="567" w:bottom="709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7" w:rsidRDefault="003B6647" w:rsidP="003B6647">
      <w:r>
        <w:separator/>
      </w:r>
    </w:p>
  </w:endnote>
  <w:endnote w:type="continuationSeparator" w:id="0">
    <w:p w:rsidR="003B6647" w:rsidRDefault="003B6647" w:rsidP="003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7" w:rsidRDefault="003B6647" w:rsidP="003B6647">
      <w:r>
        <w:separator/>
      </w:r>
    </w:p>
  </w:footnote>
  <w:footnote w:type="continuationSeparator" w:id="0">
    <w:p w:rsidR="003B6647" w:rsidRDefault="003B6647" w:rsidP="003B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33848430"/>
      <w:docPartObj>
        <w:docPartGallery w:val="Page Numbers (Top of Page)"/>
        <w:docPartUnique/>
      </w:docPartObj>
    </w:sdtPr>
    <w:sdtEndPr/>
    <w:sdtContent>
      <w:p w:rsidR="003B6647" w:rsidRPr="003B6647" w:rsidRDefault="003B6647">
        <w:pPr>
          <w:pStyle w:val="ad"/>
          <w:jc w:val="center"/>
          <w:rPr>
            <w:rFonts w:ascii="Times New Roman" w:hAnsi="Times New Roman" w:cs="Times New Roman"/>
          </w:rPr>
        </w:pPr>
        <w:r w:rsidRPr="003B6647">
          <w:rPr>
            <w:rFonts w:ascii="Times New Roman" w:hAnsi="Times New Roman" w:cs="Times New Roman"/>
          </w:rPr>
          <w:fldChar w:fldCharType="begin"/>
        </w:r>
        <w:r w:rsidRPr="003B6647">
          <w:rPr>
            <w:rFonts w:ascii="Times New Roman" w:hAnsi="Times New Roman" w:cs="Times New Roman"/>
          </w:rPr>
          <w:instrText>PAGE   \* MERGEFORMAT</w:instrText>
        </w:r>
        <w:r w:rsidRPr="003B6647">
          <w:rPr>
            <w:rFonts w:ascii="Times New Roman" w:hAnsi="Times New Roman" w:cs="Times New Roman"/>
          </w:rPr>
          <w:fldChar w:fldCharType="separate"/>
        </w:r>
        <w:r w:rsidR="00E7189C" w:rsidRPr="00E7189C">
          <w:rPr>
            <w:rFonts w:ascii="Times New Roman" w:hAnsi="Times New Roman" w:cs="Times New Roman"/>
            <w:noProof/>
            <w:lang w:val="ru-RU"/>
          </w:rPr>
          <w:t>2</w:t>
        </w:r>
        <w:r w:rsidRPr="003B6647">
          <w:rPr>
            <w:rFonts w:ascii="Times New Roman" w:hAnsi="Times New Roman" w:cs="Times New Roman"/>
          </w:rPr>
          <w:fldChar w:fldCharType="end"/>
        </w:r>
      </w:p>
    </w:sdtContent>
  </w:sdt>
  <w:p w:rsidR="003B6647" w:rsidRPr="003B6647" w:rsidRDefault="003B6647">
    <w:pPr>
      <w:pStyle w:val="ad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D17"/>
    <w:rsid w:val="001D0169"/>
    <w:rsid w:val="00302737"/>
    <w:rsid w:val="00367B63"/>
    <w:rsid w:val="003B6647"/>
    <w:rsid w:val="00A168FF"/>
    <w:rsid w:val="00D8000E"/>
    <w:rsid w:val="00E3353B"/>
    <w:rsid w:val="00E7189C"/>
    <w:rsid w:val="00ED4D17"/>
    <w:rsid w:val="00F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val="ru-RU" w:eastAsia="ru-RU" w:bidi="ar-SA"/>
    </w:rPr>
  </w:style>
  <w:style w:type="numbering" w:customStyle="1" w:styleId="123">
    <w:name w:val="Нумерованный 123"/>
    <w:qFormat/>
  </w:style>
  <w:style w:type="paragraph" w:styleId="ad">
    <w:name w:val="header"/>
    <w:basedOn w:val="a"/>
    <w:link w:val="ae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B6647"/>
    <w:rPr>
      <w:color w:val="00000A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3B6647"/>
    <w:rPr>
      <w:color w:val="00000A"/>
      <w:sz w:val="24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168FF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68FF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E881-DBA0-45DF-8520-484566B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miskrada1@outlook.com</cp:lastModifiedBy>
  <cp:revision>24</cp:revision>
  <cp:lastPrinted>2024-10-30T12:50:00Z</cp:lastPrinted>
  <dcterms:created xsi:type="dcterms:W3CDTF">2023-01-17T07:55:00Z</dcterms:created>
  <dcterms:modified xsi:type="dcterms:W3CDTF">2024-11-01T06:25:00Z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