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2D" w:rsidRDefault="002B7C2D" w:rsidP="002B7C2D">
      <w:pPr>
        <w:tabs>
          <w:tab w:val="left" w:pos="7088"/>
        </w:tabs>
        <w:jc w:val="center"/>
      </w:pPr>
      <w:r>
        <w:rPr>
          <w:noProof/>
          <w:lang w:eastAsia="uk-UA" w:bidi="ar-SA"/>
        </w:rPr>
        <w:drawing>
          <wp:anchor distT="0" distB="0" distL="0" distR="0" simplePos="0" relativeHeight="251658240" behindDoc="0" locked="0" layoutInCell="1" allowOverlap="1">
            <wp:simplePos x="0" y="0"/>
            <wp:positionH relativeFrom="column">
              <wp:posOffset>2843530</wp:posOffset>
            </wp:positionH>
            <wp:positionV relativeFrom="paragraph">
              <wp:posOffset>-318770</wp:posOffset>
            </wp:positionV>
            <wp:extent cx="411480" cy="592455"/>
            <wp:effectExtent l="0" t="0" r="762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6087" t="-4308" r="-6087" b="-4308"/>
                    <a:stretch>
                      <a:fillRect/>
                    </a:stretch>
                  </pic:blipFill>
                  <pic:spPr bwMode="auto">
                    <a:xfrm>
                      <a:off x="0" y="0"/>
                      <a:ext cx="411480" cy="5924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2B7C2D" w:rsidRDefault="002B7C2D" w:rsidP="002B7C2D">
      <w:pPr>
        <w:jc w:val="center"/>
      </w:pPr>
      <w:r>
        <w:rPr>
          <w:b/>
          <w:sz w:val="28"/>
          <w:szCs w:val="28"/>
        </w:rPr>
        <w:t>РЕШЕТИЛІВСЬКА МІСЬКА РАДА</w:t>
      </w:r>
    </w:p>
    <w:p w:rsidR="002B7C2D" w:rsidRDefault="002B7C2D" w:rsidP="002B7C2D">
      <w:pPr>
        <w:jc w:val="center"/>
      </w:pPr>
      <w:r>
        <w:rPr>
          <w:b/>
          <w:sz w:val="28"/>
          <w:szCs w:val="28"/>
        </w:rPr>
        <w:t>ПОЛТАВСЬКОЇ ОБЛАСТІ</w:t>
      </w:r>
    </w:p>
    <w:p w:rsidR="002B7C2D" w:rsidRDefault="002B7C2D" w:rsidP="002B7C2D">
      <w:pPr>
        <w:tabs>
          <w:tab w:val="left" w:pos="709"/>
        </w:tabs>
        <w:jc w:val="center"/>
      </w:pPr>
      <w:r>
        <w:rPr>
          <w:b/>
          <w:sz w:val="28"/>
          <w:szCs w:val="28"/>
        </w:rPr>
        <w:t>(шістдесят друга позачергова сесія восьмого скликання)</w:t>
      </w:r>
    </w:p>
    <w:p w:rsidR="002B7C2D" w:rsidRDefault="002B7C2D" w:rsidP="002B7C2D">
      <w:pPr>
        <w:jc w:val="center"/>
        <w:rPr>
          <w:b/>
          <w:color w:val="FF0000"/>
          <w:sz w:val="28"/>
          <w:szCs w:val="28"/>
        </w:rPr>
      </w:pPr>
    </w:p>
    <w:p w:rsidR="002B7C2D" w:rsidRDefault="002B7C2D" w:rsidP="002B7C2D">
      <w:pPr>
        <w:jc w:val="center"/>
      </w:pPr>
      <w:r>
        <w:rPr>
          <w:b/>
          <w:sz w:val="28"/>
          <w:szCs w:val="28"/>
        </w:rPr>
        <w:t>РІШЕННЯ</w:t>
      </w:r>
    </w:p>
    <w:p w:rsidR="002B7C2D" w:rsidRDefault="002B7C2D" w:rsidP="002B7C2D">
      <w:pPr>
        <w:jc w:val="both"/>
        <w:rPr>
          <w:b/>
          <w:sz w:val="28"/>
          <w:szCs w:val="28"/>
        </w:rPr>
      </w:pPr>
    </w:p>
    <w:p w:rsidR="002B7C2D" w:rsidRDefault="002B7C2D" w:rsidP="002B7C2D">
      <w:pPr>
        <w:jc w:val="both"/>
      </w:pPr>
      <w:r>
        <w:rPr>
          <w:rFonts w:eastAsia="Times New Roman" w:cs="Times New Roman"/>
          <w:sz w:val="28"/>
          <w:szCs w:val="28"/>
        </w:rPr>
        <w:t xml:space="preserve">31 жовтня </w:t>
      </w:r>
      <w:r>
        <w:rPr>
          <w:sz w:val="28"/>
          <w:szCs w:val="28"/>
        </w:rPr>
        <w:t xml:space="preserve">2025 </w:t>
      </w:r>
      <w:r>
        <w:rPr>
          <w:color w:val="000000"/>
          <w:sz w:val="28"/>
          <w:szCs w:val="28"/>
        </w:rPr>
        <w:t xml:space="preserve">року                  м. </w:t>
      </w:r>
      <w:proofErr w:type="spellStart"/>
      <w:r>
        <w:rPr>
          <w:color w:val="000000"/>
          <w:sz w:val="28"/>
          <w:szCs w:val="28"/>
        </w:rPr>
        <w:t>Решетилівка</w:t>
      </w:r>
      <w:proofErr w:type="spellEnd"/>
      <w:r>
        <w:rPr>
          <w:color w:val="FF0000"/>
          <w:sz w:val="28"/>
          <w:szCs w:val="28"/>
        </w:rPr>
        <w:t xml:space="preserve">                              </w:t>
      </w:r>
      <w:r>
        <w:rPr>
          <w:sz w:val="28"/>
          <w:szCs w:val="28"/>
        </w:rPr>
        <w:t xml:space="preserve"> № </w:t>
      </w:r>
      <w:r w:rsidRPr="002B7C2D">
        <w:rPr>
          <w:sz w:val="28"/>
          <w:szCs w:val="28"/>
        </w:rPr>
        <w:t>2386</w:t>
      </w:r>
      <w:r>
        <w:rPr>
          <w:sz w:val="28"/>
          <w:szCs w:val="28"/>
        </w:rPr>
        <w:t>-62</w:t>
      </w:r>
      <w:r>
        <w:rPr>
          <w:strike/>
          <w:sz w:val="28"/>
          <w:szCs w:val="28"/>
        </w:rPr>
        <w:t>-</w:t>
      </w:r>
      <w:r>
        <w:rPr>
          <w:sz w:val="28"/>
          <w:szCs w:val="28"/>
        </w:rPr>
        <w:t>VІII</w:t>
      </w:r>
    </w:p>
    <w:p w:rsidR="002B7C2D" w:rsidRDefault="002B7C2D" w:rsidP="002B7C2D">
      <w:pPr>
        <w:jc w:val="both"/>
        <w:rPr>
          <w:sz w:val="28"/>
          <w:szCs w:val="28"/>
        </w:rPr>
      </w:pPr>
    </w:p>
    <w:p w:rsidR="002B7C2D" w:rsidRDefault="002B7C2D" w:rsidP="002B7C2D">
      <w:pPr>
        <w:jc w:val="both"/>
        <w:rPr>
          <w:rFonts w:eastAsia="Times New Roman" w:cs="Times New Roman"/>
          <w:iCs/>
          <w:color w:val="000000"/>
          <w:spacing w:val="4"/>
          <w:sz w:val="28"/>
          <w:szCs w:val="28"/>
          <w:lang w:eastAsia="ru-RU"/>
        </w:rPr>
      </w:pPr>
      <w:r>
        <w:rPr>
          <w:rFonts w:eastAsia="Calibri" w:cs="Times New Roman"/>
          <w:color w:val="000000"/>
          <w:sz w:val="28"/>
          <w:szCs w:val="28"/>
          <w:lang w:eastAsia="en-US"/>
        </w:rPr>
        <w:t xml:space="preserve">Про </w:t>
      </w:r>
      <w:r>
        <w:rPr>
          <w:rFonts w:eastAsia="Times New Roman" w:cs="Times New Roman"/>
          <w:iCs/>
          <w:color w:val="000000"/>
          <w:spacing w:val="4"/>
          <w:sz w:val="28"/>
          <w:szCs w:val="28"/>
          <w:lang w:eastAsia="ru-RU"/>
        </w:rPr>
        <w:t xml:space="preserve">присвоєння адрес </w:t>
      </w:r>
    </w:p>
    <w:p w:rsidR="002B7C2D" w:rsidRDefault="002B7C2D" w:rsidP="002B7C2D">
      <w:pPr>
        <w:jc w:val="both"/>
      </w:pPr>
      <w:r>
        <w:rPr>
          <w:rFonts w:eastAsia="Times New Roman" w:cs="Times New Roman"/>
          <w:iCs/>
          <w:color w:val="000000"/>
          <w:spacing w:val="4"/>
          <w:sz w:val="28"/>
          <w:szCs w:val="28"/>
          <w:lang w:eastAsia="ru-RU"/>
        </w:rPr>
        <w:t>комплексу  будівель і споруд</w:t>
      </w:r>
    </w:p>
    <w:p w:rsidR="002B7C2D" w:rsidRDefault="002B7C2D" w:rsidP="002B7C2D">
      <w:pPr>
        <w:jc w:val="both"/>
        <w:rPr>
          <w:rFonts w:eastAsia="Calibri"/>
          <w:bCs/>
          <w:sz w:val="28"/>
          <w:szCs w:val="28"/>
          <w:lang w:eastAsia="en-US"/>
        </w:rPr>
      </w:pPr>
    </w:p>
    <w:p w:rsidR="002B7C2D" w:rsidRDefault="002B7C2D" w:rsidP="002B7C2D">
      <w:pPr>
        <w:tabs>
          <w:tab w:val="left" w:pos="743"/>
        </w:tabs>
        <w:ind w:firstLine="567"/>
        <w:jc w:val="both"/>
      </w:pPr>
      <w:r>
        <w:rPr>
          <w:rFonts w:eastAsia="Times New Roman"/>
          <w:sz w:val="28"/>
          <w:szCs w:val="28"/>
          <w:lang w:eastAsia="ru-RU"/>
        </w:rPr>
        <w:t>Керуючись статтею 26  Закону України ,,Про місцеве самоврядування в Україні,” Порядком присвоєння адрес об’єктам будівництва, об’єктам нерухомого майна, затвердженого постановою Кабінету міністрів України  від 07.07.2021 р. № 690,</w:t>
      </w:r>
      <w:r>
        <w:rPr>
          <w:rStyle w:val="5"/>
          <w:b/>
          <w:bCs/>
          <w:color w:val="333333"/>
          <w:sz w:val="32"/>
          <w:szCs w:val="32"/>
          <w:shd w:val="clear" w:color="auto" w:fill="FFFFFF"/>
        </w:rPr>
        <w:t xml:space="preserve"> </w:t>
      </w:r>
      <w:r>
        <w:rPr>
          <w:rStyle w:val="rvts23"/>
          <w:bCs/>
          <w:sz w:val="28"/>
          <w:szCs w:val="28"/>
          <w:shd w:val="clear" w:color="auto" w:fill="FFFFFF"/>
        </w:rPr>
        <w:t>Порядком</w:t>
      </w:r>
      <w:r>
        <w:rPr>
          <w:sz w:val="28"/>
          <w:szCs w:val="28"/>
        </w:rPr>
        <w:t xml:space="preserve"> </w:t>
      </w:r>
      <w:r>
        <w:rPr>
          <w:rStyle w:val="rvts23"/>
          <w:bCs/>
          <w:sz w:val="28"/>
          <w:szCs w:val="28"/>
          <w:shd w:val="clear" w:color="auto" w:fill="FFFFFF"/>
        </w:rPr>
        <w:t>ведення словників Єдиних і Державних реєстрів, інформаційно-комунікаційних систем, у тому числі інформаційних (автоматизованих), створення та забезпечення функціонування яких віднесено законодавством до компетенції Міністерства юстиції України</w:t>
      </w:r>
      <w:r>
        <w:rPr>
          <w:rFonts w:eastAsia="Times New Roman"/>
          <w:color w:val="CE181E"/>
          <w:sz w:val="28"/>
          <w:szCs w:val="28"/>
          <w:lang w:eastAsia="ru-RU"/>
        </w:rPr>
        <w:t xml:space="preserve"> </w:t>
      </w:r>
      <w:r>
        <w:rPr>
          <w:rFonts w:eastAsia="Times New Roman"/>
          <w:iCs/>
          <w:spacing w:val="4"/>
          <w:sz w:val="28"/>
          <w:szCs w:val="28"/>
          <w:lang w:eastAsia="ru-RU"/>
        </w:rPr>
        <w:t xml:space="preserve"> та враховуючи заяви </w:t>
      </w:r>
      <w:proofErr w:type="spellStart"/>
      <w:r>
        <w:rPr>
          <w:rFonts w:eastAsia="Times New Roman"/>
          <w:iCs/>
          <w:spacing w:val="4"/>
          <w:sz w:val="28"/>
          <w:szCs w:val="28"/>
          <w:lang w:eastAsia="ru-RU"/>
        </w:rPr>
        <w:t>Дядченко</w:t>
      </w:r>
      <w:proofErr w:type="spellEnd"/>
      <w:r>
        <w:rPr>
          <w:rFonts w:eastAsia="Times New Roman"/>
          <w:iCs/>
          <w:spacing w:val="4"/>
          <w:sz w:val="28"/>
          <w:szCs w:val="28"/>
          <w:lang w:eastAsia="ru-RU"/>
        </w:rPr>
        <w:t xml:space="preserve"> О.А. та  Харченко М.П. та висновок КП ,,Бюро технічної інвентаризації Решетилівської міської ради Полтавської області” від 16.10.2025 р. №41 щодо технічної можливості поділу об’єкта нерухомого майна комплексу будівель і споруд сільськогосподарського призначення, беручи до уваги висновки спільних постійних комісій міської ради, Решетилівська міська рада</w:t>
      </w:r>
    </w:p>
    <w:p w:rsidR="002B7C2D" w:rsidRDefault="002B7C2D" w:rsidP="002B7C2D">
      <w:pPr>
        <w:jc w:val="both"/>
      </w:pPr>
      <w:r>
        <w:rPr>
          <w:rFonts w:eastAsia="Calibri"/>
          <w:b/>
          <w:bCs/>
          <w:sz w:val="28"/>
          <w:szCs w:val="28"/>
          <w:lang w:eastAsia="en-US"/>
        </w:rPr>
        <w:t>ВИРІШИЛА:</w:t>
      </w:r>
    </w:p>
    <w:p w:rsidR="002B7C2D" w:rsidRDefault="002B7C2D" w:rsidP="002B7C2D">
      <w:pPr>
        <w:pStyle w:val="a3"/>
        <w:tabs>
          <w:tab w:val="left" w:pos="828"/>
        </w:tabs>
        <w:spacing w:after="0"/>
        <w:ind w:left="1068"/>
        <w:jc w:val="both"/>
        <w:rPr>
          <w:rFonts w:eastAsia="Calibri"/>
          <w:b/>
          <w:bCs/>
          <w:sz w:val="28"/>
          <w:szCs w:val="28"/>
          <w:lang w:eastAsia="en-US"/>
        </w:rPr>
      </w:pPr>
    </w:p>
    <w:p w:rsidR="002B7C2D" w:rsidRDefault="002B7C2D" w:rsidP="002B7C2D">
      <w:pPr>
        <w:ind w:firstLine="567"/>
        <w:jc w:val="both"/>
      </w:pPr>
      <w:r>
        <w:rPr>
          <w:rFonts w:cs="Times New Roman"/>
          <w:color w:val="000000"/>
          <w:sz w:val="28"/>
          <w:szCs w:val="28"/>
        </w:rPr>
        <w:t>1. Надати</w:t>
      </w:r>
      <w:r>
        <w:rPr>
          <w:rFonts w:eastAsia="Times New Roman" w:cs="Times New Roman"/>
          <w:iCs/>
          <w:color w:val="000000"/>
          <w:spacing w:val="4"/>
          <w:sz w:val="28"/>
          <w:szCs w:val="28"/>
          <w:lang w:eastAsia="ru-RU"/>
        </w:rPr>
        <w:t xml:space="preserve"> комплексу  будівель і споруд (земельна ділянка №1) - телятник №1 з </w:t>
      </w:r>
      <w:proofErr w:type="spellStart"/>
      <w:r>
        <w:rPr>
          <w:rFonts w:eastAsia="Times New Roman" w:cs="Times New Roman"/>
          <w:iCs/>
          <w:color w:val="000000"/>
          <w:spacing w:val="4"/>
          <w:sz w:val="28"/>
          <w:szCs w:val="28"/>
          <w:lang w:eastAsia="ru-RU"/>
        </w:rPr>
        <w:t>теплогенераторною</w:t>
      </w:r>
      <w:proofErr w:type="spellEnd"/>
      <w:r>
        <w:rPr>
          <w:rFonts w:eastAsia="Times New Roman" w:cs="Times New Roman"/>
          <w:iCs/>
          <w:color w:val="000000"/>
          <w:spacing w:val="4"/>
          <w:sz w:val="28"/>
          <w:szCs w:val="28"/>
          <w:lang w:eastAsia="ru-RU"/>
        </w:rPr>
        <w:t>, комбікормовим складом ”А-1”, приміщення насосної станції ”В-1”, приміщення дизельної електростанції ”Г-1”, сінник ”Д-1”, котельня ”Е-1”, телятник №2 ”Є-1”, телятник №3 ”Ж-1”, який знаходиться на частині земельної ділянки з кадастровим номером 5324281400:00:012:0007 наступну адресу:</w:t>
      </w:r>
    </w:p>
    <w:p w:rsidR="002B7C2D" w:rsidRDefault="002B7C2D" w:rsidP="002B7C2D">
      <w:pPr>
        <w:ind w:firstLine="567"/>
        <w:jc w:val="both"/>
        <w:rPr>
          <w:rFonts w:eastAsia="Times New Roman" w:cs="Times New Roman"/>
          <w:iCs/>
          <w:color w:val="000000"/>
          <w:spacing w:val="4"/>
          <w:sz w:val="28"/>
          <w:szCs w:val="28"/>
          <w:lang w:eastAsia="ru-RU"/>
        </w:rPr>
      </w:pPr>
      <w:r>
        <w:rPr>
          <w:rFonts w:eastAsia="Times New Roman" w:cs="Times New Roman"/>
          <w:iCs/>
          <w:color w:val="000000"/>
          <w:spacing w:val="4"/>
          <w:sz w:val="28"/>
          <w:szCs w:val="28"/>
          <w:lang w:eastAsia="ru-RU"/>
        </w:rPr>
        <w:t xml:space="preserve">Україна, Полтавська область, Полтавський район, Решетилівська територіальна громада, комплекс будівель і споруд №13. </w:t>
      </w:r>
    </w:p>
    <w:p w:rsidR="002B7C2D" w:rsidRDefault="002B7C2D" w:rsidP="002B7C2D">
      <w:pPr>
        <w:ind w:firstLine="567"/>
        <w:jc w:val="both"/>
      </w:pPr>
      <w:r>
        <w:rPr>
          <w:rFonts w:eastAsia="Times New Roman" w:cs="Times New Roman"/>
          <w:iCs/>
          <w:color w:val="000000"/>
          <w:spacing w:val="4"/>
          <w:sz w:val="28"/>
          <w:szCs w:val="28"/>
          <w:lang w:eastAsia="ru-RU"/>
        </w:rPr>
        <w:t xml:space="preserve">2. </w:t>
      </w:r>
      <w:r>
        <w:rPr>
          <w:rFonts w:cs="Times New Roman"/>
          <w:color w:val="000000"/>
          <w:sz w:val="28"/>
          <w:szCs w:val="28"/>
        </w:rPr>
        <w:t>Надати</w:t>
      </w:r>
      <w:r>
        <w:rPr>
          <w:rFonts w:eastAsia="Times New Roman" w:cs="Times New Roman"/>
          <w:iCs/>
          <w:color w:val="000000"/>
          <w:spacing w:val="4"/>
          <w:sz w:val="28"/>
          <w:szCs w:val="28"/>
          <w:lang w:eastAsia="ru-RU"/>
        </w:rPr>
        <w:t xml:space="preserve"> комплексу  будівель і споруд (земельна ділянка №2) </w:t>
      </w:r>
      <w:proofErr w:type="spellStart"/>
      <w:r>
        <w:rPr>
          <w:rFonts w:eastAsia="Times New Roman" w:cs="Times New Roman"/>
          <w:iCs/>
          <w:color w:val="000000"/>
          <w:spacing w:val="4"/>
          <w:sz w:val="28"/>
          <w:szCs w:val="28"/>
          <w:lang w:eastAsia="ru-RU"/>
        </w:rPr>
        <w:t>–приміщення</w:t>
      </w:r>
      <w:proofErr w:type="spellEnd"/>
      <w:r>
        <w:rPr>
          <w:rFonts w:eastAsia="Times New Roman" w:cs="Times New Roman"/>
          <w:iCs/>
          <w:color w:val="000000"/>
          <w:spacing w:val="4"/>
          <w:sz w:val="28"/>
          <w:szCs w:val="28"/>
          <w:lang w:eastAsia="ru-RU"/>
        </w:rPr>
        <w:t xml:space="preserve">  відвантаження  худоби  ”Б-1”,  будівля для утримання тварин  ”З-1”, лагуна для зберігання навозу №1,  лагуна для зберігання навозу №2, лагуна для зберігання навозу №3, лагуна для зберігання навозу №4, який знаходиться на частині земельної ділянки з кадастровим номером 5324281400:00:012:0007, власники </w:t>
      </w:r>
      <w:proofErr w:type="spellStart"/>
      <w:r>
        <w:rPr>
          <w:rFonts w:eastAsia="Times New Roman" w:cs="Times New Roman"/>
          <w:iCs/>
          <w:color w:val="000000"/>
          <w:spacing w:val="4"/>
          <w:sz w:val="28"/>
          <w:szCs w:val="28"/>
          <w:lang w:eastAsia="ru-RU"/>
        </w:rPr>
        <w:t>Майковський</w:t>
      </w:r>
      <w:proofErr w:type="spellEnd"/>
      <w:r>
        <w:rPr>
          <w:rFonts w:eastAsia="Times New Roman" w:cs="Times New Roman"/>
          <w:iCs/>
          <w:color w:val="000000"/>
          <w:spacing w:val="4"/>
          <w:sz w:val="28"/>
          <w:szCs w:val="28"/>
          <w:lang w:eastAsia="ru-RU"/>
        </w:rPr>
        <w:t xml:space="preserve"> Сергій Олександрович та Дяченко Олександр Анатолійович, наступну адресу:</w:t>
      </w:r>
    </w:p>
    <w:p w:rsidR="002B7C2D" w:rsidRDefault="002B7C2D" w:rsidP="002B7C2D">
      <w:pPr>
        <w:ind w:firstLine="567"/>
        <w:jc w:val="both"/>
      </w:pPr>
      <w:r>
        <w:rPr>
          <w:rFonts w:eastAsia="Times New Roman" w:cs="Times New Roman"/>
          <w:iCs/>
          <w:color w:val="000000"/>
          <w:spacing w:val="4"/>
          <w:sz w:val="28"/>
          <w:szCs w:val="28"/>
          <w:lang w:eastAsia="ru-RU"/>
        </w:rPr>
        <w:t xml:space="preserve">Україна, Полтавська область, Полтавський район, Решетилівська територіальна громада, комплекс будівель і споруд №14. </w:t>
      </w:r>
    </w:p>
    <w:p w:rsidR="002B7C2D" w:rsidRDefault="002B7C2D" w:rsidP="002B7C2D">
      <w:pPr>
        <w:jc w:val="both"/>
      </w:pPr>
    </w:p>
    <w:p w:rsidR="002B7C2D" w:rsidRDefault="002B7C2D" w:rsidP="002B7C2D">
      <w:pPr>
        <w:ind w:firstLine="567"/>
        <w:jc w:val="both"/>
      </w:pPr>
      <w:r>
        <w:rPr>
          <w:sz w:val="28"/>
          <w:szCs w:val="28"/>
        </w:rPr>
        <w:lastRenderedPageBreak/>
        <w:t>3. Відділу архітектури та містобудування (Приходько Олег)  направити  дане рішення  до Полтавської регіональної філії Державного підприємства ,,Національні інформаційні системи”  для внесення до словників іменованих об’єктів Державного реєстру речових прав на нерухоме майно.</w:t>
      </w:r>
    </w:p>
    <w:p w:rsidR="002B7C2D" w:rsidRDefault="002B7C2D" w:rsidP="002B7C2D">
      <w:pPr>
        <w:tabs>
          <w:tab w:val="left" w:pos="630"/>
          <w:tab w:val="left" w:pos="1875"/>
        </w:tabs>
        <w:ind w:firstLine="737"/>
        <w:jc w:val="both"/>
      </w:pPr>
    </w:p>
    <w:p w:rsidR="002B7C2D" w:rsidRDefault="002B7C2D" w:rsidP="002B7C2D">
      <w:pPr>
        <w:jc w:val="both"/>
        <w:rPr>
          <w:rFonts w:eastAsia="Calibri"/>
          <w:i/>
          <w:lang w:eastAsia="en-US"/>
        </w:rPr>
      </w:pPr>
    </w:p>
    <w:p w:rsidR="002B7C2D" w:rsidRDefault="002B7C2D" w:rsidP="002B7C2D">
      <w:pPr>
        <w:tabs>
          <w:tab w:val="left" w:pos="735"/>
        </w:tabs>
        <w:jc w:val="both"/>
        <w:rPr>
          <w:rFonts w:eastAsia="Calibri"/>
          <w:i/>
          <w:lang w:eastAsia="en-US"/>
        </w:rPr>
      </w:pPr>
    </w:p>
    <w:p w:rsidR="002B7C2D" w:rsidRDefault="002B7C2D" w:rsidP="002B7C2D">
      <w:pPr>
        <w:jc w:val="both"/>
        <w:rPr>
          <w:rFonts w:eastAsia="Calibri"/>
          <w:i/>
          <w:lang w:eastAsia="en-US"/>
        </w:rPr>
      </w:pPr>
    </w:p>
    <w:p w:rsidR="002B7C2D" w:rsidRDefault="002B7C2D" w:rsidP="002B7C2D">
      <w:pPr>
        <w:tabs>
          <w:tab w:val="left" w:pos="7088"/>
        </w:tabs>
        <w:jc w:val="both"/>
        <w:rPr>
          <w:rFonts w:eastAsia="Calibri"/>
          <w:i/>
          <w:lang w:eastAsia="en-US"/>
        </w:rPr>
      </w:pPr>
    </w:p>
    <w:p w:rsidR="002B7C2D" w:rsidRDefault="002B7C2D" w:rsidP="002B7C2D">
      <w:pPr>
        <w:jc w:val="both"/>
      </w:pPr>
      <w:r>
        <w:rPr>
          <w:rFonts w:eastAsia="Calibri"/>
          <w:sz w:val="28"/>
          <w:szCs w:val="28"/>
          <w:lang w:eastAsia="en-US"/>
        </w:rPr>
        <w:t>Міський голова</w:t>
      </w:r>
      <w:r>
        <w:rPr>
          <w:rFonts w:eastAsia="Calibri"/>
          <w:sz w:val="28"/>
          <w:szCs w:val="28"/>
          <w:lang w:eastAsia="en-US"/>
        </w:rPr>
        <w:tab/>
      </w:r>
      <w:r>
        <w:rPr>
          <w:rFonts w:eastAsia="Calibri"/>
          <w:sz w:val="28"/>
          <w:szCs w:val="28"/>
          <w:lang w:eastAsia="en-US"/>
        </w:rPr>
        <w:tab/>
        <w:t xml:space="preserve">                                                          Оксана ДЯДЮНОВА</w:t>
      </w:r>
    </w:p>
    <w:p w:rsidR="002B7C2D" w:rsidRDefault="002B7C2D" w:rsidP="002B7C2D">
      <w:pPr>
        <w:jc w:val="both"/>
        <w:rPr>
          <w:rFonts w:eastAsia="Calibri"/>
          <w:sz w:val="28"/>
          <w:szCs w:val="28"/>
          <w:lang w:eastAsia="en-US"/>
        </w:rPr>
      </w:pPr>
    </w:p>
    <w:tbl>
      <w:tblPr>
        <w:tblW w:w="0" w:type="auto"/>
        <w:tblLayout w:type="fixed"/>
        <w:tblLook w:val="04A0" w:firstRow="1" w:lastRow="0" w:firstColumn="1" w:lastColumn="0" w:noHBand="0" w:noVBand="1"/>
      </w:tblPr>
      <w:tblGrid>
        <w:gridCol w:w="5100"/>
        <w:gridCol w:w="1473"/>
        <w:gridCol w:w="3013"/>
      </w:tblGrid>
      <w:tr w:rsidR="002B7C2D" w:rsidTr="002B7C2D">
        <w:trPr>
          <w:trHeight w:val="416"/>
        </w:trPr>
        <w:tc>
          <w:tcPr>
            <w:tcW w:w="5100" w:type="dxa"/>
          </w:tcPr>
          <w:p w:rsidR="002B7C2D" w:rsidRDefault="002B7C2D">
            <w:pPr>
              <w:tabs>
                <w:tab w:val="left" w:pos="6930"/>
              </w:tabs>
              <w:snapToGrid w:val="0"/>
              <w:rPr>
                <w:color w:val="000000"/>
                <w:sz w:val="28"/>
                <w:szCs w:val="28"/>
                <w:lang w:eastAsia="uk-UA"/>
              </w:rPr>
            </w:pPr>
          </w:p>
        </w:tc>
        <w:tc>
          <w:tcPr>
            <w:tcW w:w="1473" w:type="dxa"/>
          </w:tcPr>
          <w:p w:rsidR="002B7C2D" w:rsidRDefault="002B7C2D">
            <w:pPr>
              <w:tabs>
                <w:tab w:val="left" w:pos="6930"/>
              </w:tabs>
              <w:snapToGrid w:val="0"/>
              <w:rPr>
                <w:color w:val="00000A"/>
                <w:sz w:val="28"/>
                <w:szCs w:val="28"/>
                <w:lang w:eastAsia="uk-UA"/>
              </w:rPr>
            </w:pPr>
          </w:p>
        </w:tc>
        <w:tc>
          <w:tcPr>
            <w:tcW w:w="3013" w:type="dxa"/>
          </w:tcPr>
          <w:p w:rsidR="002B7C2D" w:rsidRDefault="002B7C2D">
            <w:pPr>
              <w:tabs>
                <w:tab w:val="left" w:pos="6930"/>
              </w:tabs>
              <w:snapToGrid w:val="0"/>
              <w:rPr>
                <w:color w:val="000000"/>
                <w:sz w:val="28"/>
                <w:szCs w:val="28"/>
                <w:lang w:eastAsia="uk-UA"/>
              </w:rPr>
            </w:pPr>
          </w:p>
        </w:tc>
      </w:tr>
      <w:tr w:rsidR="002B7C2D" w:rsidTr="002B7C2D">
        <w:tc>
          <w:tcPr>
            <w:tcW w:w="5100" w:type="dxa"/>
          </w:tcPr>
          <w:p w:rsidR="002B7C2D" w:rsidRDefault="002B7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473" w:type="dxa"/>
          </w:tcPr>
          <w:p w:rsidR="002B7C2D" w:rsidRDefault="002B7C2D">
            <w:pPr>
              <w:snapToGrid w:val="0"/>
              <w:rPr>
                <w:color w:val="000000"/>
                <w:sz w:val="28"/>
                <w:szCs w:val="28"/>
              </w:rPr>
            </w:pPr>
          </w:p>
        </w:tc>
        <w:tc>
          <w:tcPr>
            <w:tcW w:w="3013" w:type="dxa"/>
          </w:tcPr>
          <w:p w:rsidR="002B7C2D" w:rsidRDefault="002B7C2D">
            <w:pPr>
              <w:snapToGrid w:val="0"/>
              <w:rPr>
                <w:color w:val="000000"/>
                <w:sz w:val="28"/>
                <w:szCs w:val="28"/>
              </w:rPr>
            </w:pPr>
          </w:p>
        </w:tc>
      </w:tr>
    </w:tbl>
    <w:p w:rsidR="002B7C2D" w:rsidRDefault="002B7C2D" w:rsidP="002B7C2D"/>
    <w:p w:rsidR="00536EBE" w:rsidRDefault="00536EBE">
      <w:bookmarkStart w:id="0" w:name="_GoBack"/>
      <w:bookmarkEnd w:id="0"/>
    </w:p>
    <w:sectPr w:rsidR="00536E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74"/>
    <w:rsid w:val="002B7C2D"/>
    <w:rsid w:val="00536EBE"/>
    <w:rsid w:val="006E6A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2D"/>
    <w:pPr>
      <w:suppressAutoHyphens/>
      <w:spacing w:after="0" w:line="240" w:lineRule="auto"/>
    </w:pPr>
    <w:rPr>
      <w:rFonts w:ascii="Times New Roman" w:eastAsia="Noto Sans CJK SC Regular" w:hAnsi="Times New Roman" w:cs="Free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B7C2D"/>
    <w:pPr>
      <w:suppressAutoHyphens w:val="0"/>
      <w:spacing w:after="160"/>
      <w:ind w:left="720"/>
      <w:contextualSpacing/>
    </w:pPr>
    <w:rPr>
      <w:rFonts w:cs="Lohit Devanagari"/>
    </w:rPr>
  </w:style>
  <w:style w:type="character" w:customStyle="1" w:styleId="5">
    <w:name w:val="Основной шрифт абзаца5"/>
    <w:rsid w:val="002B7C2D"/>
  </w:style>
  <w:style w:type="character" w:customStyle="1" w:styleId="rvts23">
    <w:name w:val="rvts23"/>
    <w:rsid w:val="002B7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2D"/>
    <w:pPr>
      <w:suppressAutoHyphens/>
      <w:spacing w:after="0" w:line="240" w:lineRule="auto"/>
    </w:pPr>
    <w:rPr>
      <w:rFonts w:ascii="Times New Roman" w:eastAsia="Noto Sans CJK SC Regular" w:hAnsi="Times New Roman" w:cs="Free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B7C2D"/>
    <w:pPr>
      <w:suppressAutoHyphens w:val="0"/>
      <w:spacing w:after="160"/>
      <w:ind w:left="720"/>
      <w:contextualSpacing/>
    </w:pPr>
    <w:rPr>
      <w:rFonts w:cs="Lohit Devanagari"/>
    </w:rPr>
  </w:style>
  <w:style w:type="character" w:customStyle="1" w:styleId="5">
    <w:name w:val="Основной шрифт абзаца5"/>
    <w:rsid w:val="002B7C2D"/>
  </w:style>
  <w:style w:type="character" w:customStyle="1" w:styleId="rvts23">
    <w:name w:val="rvts23"/>
    <w:rsid w:val="002B7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3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1657</Words>
  <Characters>945</Characters>
  <Application>Microsoft Office Word</Application>
  <DocSecurity>0</DocSecurity>
  <Lines>7</Lines>
  <Paragraphs>5</Paragraphs>
  <ScaleCrop>false</ScaleCrop>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2025-11-07T07:41:00Z</dcterms:created>
  <dcterms:modified xsi:type="dcterms:W3CDTF">2025-11-07T07:41:00Z</dcterms:modified>
</cp:coreProperties>
</file>