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D6" w:rsidRPr="00637132" w:rsidRDefault="006245D6" w:rsidP="00B543A9">
      <w:pPr>
        <w:tabs>
          <w:tab w:val="left" w:pos="142"/>
          <w:tab w:val="left" w:pos="16040"/>
        </w:tabs>
        <w:autoSpaceDE w:val="0"/>
        <w:autoSpaceDN w:val="0"/>
        <w:adjustRightInd w:val="0"/>
        <w:ind w:left="0" w:right="0" w:firstLine="426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45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Початок процедури розгляду та врахування пропозицій громадськості у проекті </w:t>
      </w:r>
    </w:p>
    <w:p w:rsidR="006245D6" w:rsidRPr="00637132" w:rsidRDefault="006245D6" w:rsidP="00B543A9">
      <w:pPr>
        <w:tabs>
          <w:tab w:val="left" w:pos="142"/>
          <w:tab w:val="left" w:pos="16040"/>
        </w:tabs>
        <w:autoSpaceDE w:val="0"/>
        <w:autoSpaceDN w:val="0"/>
        <w:adjustRightInd w:val="0"/>
        <w:ind w:left="0" w:right="0" w:firstLine="426"/>
        <w:rPr>
          <w:rFonts w:ascii="Times New Roman" w:eastAsia="Times New Roman" w:hAnsi="Times New Roman" w:cs="Times New Roman"/>
          <w:b/>
          <w:bCs/>
          <w:color w:val="045A35"/>
          <w:kern w:val="36"/>
          <w:sz w:val="24"/>
          <w:szCs w:val="24"/>
          <w:lang w:eastAsia="ru-RU"/>
        </w:rPr>
      </w:pPr>
      <w:r w:rsidRPr="006245D6">
        <w:rPr>
          <w:rFonts w:ascii="Times New Roman" w:eastAsia="Times New Roman" w:hAnsi="Times New Roman" w:cs="Times New Roman"/>
          <w:b/>
          <w:bCs/>
          <w:color w:val="045A35"/>
          <w:kern w:val="36"/>
          <w:sz w:val="24"/>
          <w:szCs w:val="24"/>
          <w:lang w:eastAsia="ru-RU"/>
        </w:rPr>
        <w:t>«</w:t>
      </w:r>
      <w:r w:rsidRPr="00637132">
        <w:rPr>
          <w:rFonts w:ascii="Times New Roman" w:hAnsi="Times New Roman" w:cs="Times New Roman"/>
          <w:b/>
          <w:sz w:val="24"/>
          <w:szCs w:val="24"/>
        </w:rPr>
        <w:t>Детальний план території частини кварталу, обмеженого вулицями Покровська, Шевченка та проїздом загального користування в м. Решетилівка Полтавського району Полтавської області</w:t>
      </w:r>
      <w:r w:rsidRPr="006245D6">
        <w:rPr>
          <w:rFonts w:ascii="Times New Roman" w:eastAsia="Times New Roman" w:hAnsi="Times New Roman" w:cs="Times New Roman"/>
          <w:b/>
          <w:bCs/>
          <w:color w:val="045A35"/>
          <w:kern w:val="36"/>
          <w:sz w:val="24"/>
          <w:szCs w:val="24"/>
          <w:lang w:eastAsia="ru-RU"/>
        </w:rPr>
        <w:t>»</w:t>
      </w:r>
    </w:p>
    <w:p w:rsidR="00B543A9" w:rsidRPr="006245D6" w:rsidRDefault="00B543A9" w:rsidP="00B543A9">
      <w:pPr>
        <w:tabs>
          <w:tab w:val="left" w:pos="142"/>
          <w:tab w:val="left" w:pos="16040"/>
        </w:tabs>
        <w:autoSpaceDE w:val="0"/>
        <w:autoSpaceDN w:val="0"/>
        <w:adjustRightInd w:val="0"/>
        <w:ind w:left="0" w:right="0" w:firstLine="426"/>
        <w:rPr>
          <w:rFonts w:ascii="Times New Roman" w:eastAsia="Times New Roman" w:hAnsi="Times New Roman" w:cs="Times New Roman"/>
          <w:b/>
          <w:bCs/>
          <w:color w:val="045A35"/>
          <w:kern w:val="36"/>
          <w:sz w:val="24"/>
          <w:szCs w:val="24"/>
          <w:lang w:eastAsia="ru-RU"/>
        </w:rPr>
      </w:pPr>
    </w:p>
    <w:p w:rsidR="006245D6" w:rsidRPr="00637132" w:rsidRDefault="006245D6" w:rsidP="00B543A9">
      <w:pPr>
        <w:pStyle w:val="a3"/>
        <w:numPr>
          <w:ilvl w:val="0"/>
          <w:numId w:val="6"/>
        </w:numPr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мету, склад та зміст містобудівної документації, викладену у скороченій та доступній для широкої громадськості формі:</w:t>
      </w:r>
    </w:p>
    <w:p w:rsidR="006245D6" w:rsidRPr="00637132" w:rsidRDefault="006245D6" w:rsidP="00B543A9">
      <w:pPr>
        <w:pStyle w:val="a3"/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 детального плану території пов’язано з необхідністю деталізації рішень чинного генплану</w:t>
      </w:r>
      <w:r w:rsidR="00637132"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м. Р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ешетилівка, уточнення окремих його положень в частині планувальної структури і функціонального призначення територій, пов’язаних з необхідністю ефективного використання територій міста в межах проектування з урахуванням існуючої містобудівної ситуації.</w:t>
      </w:r>
    </w:p>
    <w:p w:rsidR="006245D6" w:rsidRPr="00637132" w:rsidRDefault="006245D6" w:rsidP="00B543A9">
      <w:pPr>
        <w:pStyle w:val="a3"/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63713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Основна мета проекту: </w:t>
      </w:r>
    </w:p>
    <w:p w:rsidR="006245D6" w:rsidRPr="00637132" w:rsidRDefault="006245D6" w:rsidP="00B543A9">
      <w:pPr>
        <w:pStyle w:val="a3"/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Відповідно до Закону України «Про регулювання містобудівної діяльності» та Рішення п’ятнадцятої сесії восьмого скликання Решетилівської міської ради № 819-15-VIII д 30.11.2021 року метою розроблення детального плану території є визначення планувальної організації і функціонального призначення, просторової композиції і параметрів забудови та ландшафтної організації частини кварталу, </w:t>
      </w:r>
      <w:r w:rsidRPr="00637132">
        <w:rPr>
          <w:rFonts w:ascii="Times New Roman" w:hAnsi="Times New Roman" w:cs="Times New Roman"/>
          <w:sz w:val="24"/>
          <w:szCs w:val="24"/>
        </w:rPr>
        <w:t xml:space="preserve">обмеженого вулицями Покровська, Шевченка та проїздом загального користування 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призначених для комплексної забудови чи реконструкції, у тому числі відповідно до п. 4.1. ДБН  Б.1.1-14:2012 «Склад та зміст детального плану території»:</w:t>
      </w:r>
    </w:p>
    <w:p w:rsidR="006245D6" w:rsidRPr="006245D6" w:rsidRDefault="006245D6" w:rsidP="00B543A9">
      <w:pPr>
        <w:numPr>
          <w:ilvl w:val="0"/>
          <w:numId w:val="2"/>
        </w:numPr>
        <w:shd w:val="clear" w:color="auto" w:fill="FFFFFF"/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уточнення положень генерального плану населеного пункту та планувальної структури і функціонального призначення території;</w:t>
      </w:r>
    </w:p>
    <w:p w:rsidR="006245D6" w:rsidRPr="006245D6" w:rsidRDefault="006245D6" w:rsidP="00B543A9">
      <w:pPr>
        <w:numPr>
          <w:ilvl w:val="0"/>
          <w:numId w:val="2"/>
        </w:numPr>
        <w:shd w:val="clear" w:color="auto" w:fill="FFFFFF"/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 принципів планувальної організації забудови;</w:t>
      </w:r>
    </w:p>
    <w:p w:rsidR="006245D6" w:rsidRPr="006245D6" w:rsidRDefault="006245D6" w:rsidP="00B543A9">
      <w:pPr>
        <w:numPr>
          <w:ilvl w:val="0"/>
          <w:numId w:val="2"/>
        </w:numPr>
        <w:shd w:val="clear" w:color="auto" w:fill="FFFFFF"/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 та уточнення територіальних ресурсів для всіх видів функціонального використання території;</w:t>
      </w:r>
    </w:p>
    <w:p w:rsidR="006245D6" w:rsidRPr="006245D6" w:rsidRDefault="006245D6" w:rsidP="00B543A9">
      <w:pPr>
        <w:numPr>
          <w:ilvl w:val="0"/>
          <w:numId w:val="2"/>
        </w:numPr>
        <w:shd w:val="clear" w:color="auto" w:fill="FFFFFF"/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 червоних ліній та ліній регулювання забудови;</w:t>
      </w:r>
    </w:p>
    <w:p w:rsidR="006245D6" w:rsidRPr="006245D6" w:rsidRDefault="006245D6" w:rsidP="00B543A9">
      <w:pPr>
        <w:numPr>
          <w:ilvl w:val="0"/>
          <w:numId w:val="2"/>
        </w:numPr>
        <w:shd w:val="clear" w:color="auto" w:fill="FFFFFF"/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 всіх планувальних обмежень використання території згідно з державними будівельними нормами та санітарно-гігієнічними нормами;</w:t>
      </w:r>
    </w:p>
    <w:p w:rsidR="006245D6" w:rsidRPr="006245D6" w:rsidRDefault="006245D6" w:rsidP="00B543A9">
      <w:pPr>
        <w:numPr>
          <w:ilvl w:val="0"/>
          <w:numId w:val="2"/>
        </w:numPr>
        <w:shd w:val="clear" w:color="auto" w:fill="FFFFFF"/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 містобудівних умов і обмежень;</w:t>
      </w:r>
    </w:p>
    <w:p w:rsidR="006245D6" w:rsidRPr="006245D6" w:rsidRDefault="006245D6" w:rsidP="00B543A9">
      <w:pPr>
        <w:numPr>
          <w:ilvl w:val="0"/>
          <w:numId w:val="2"/>
        </w:numPr>
        <w:shd w:val="clear" w:color="auto" w:fill="FFFFFF"/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обґрунтування потреб формування нових земельних ділянок, визначення їх цільового призначення;</w:t>
      </w:r>
    </w:p>
    <w:p w:rsidR="006245D6" w:rsidRPr="006245D6" w:rsidRDefault="006245D6" w:rsidP="00B543A9">
      <w:pPr>
        <w:numPr>
          <w:ilvl w:val="0"/>
          <w:numId w:val="2"/>
        </w:numPr>
        <w:shd w:val="clear" w:color="auto" w:fill="FFFFFF"/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 комплексної забудови території з урахуванням соціальної сфери, обсягів реконструкції, тощо;</w:t>
      </w:r>
    </w:p>
    <w:p w:rsidR="006245D6" w:rsidRPr="006245D6" w:rsidRDefault="006245D6" w:rsidP="00B543A9">
      <w:pPr>
        <w:numPr>
          <w:ilvl w:val="0"/>
          <w:numId w:val="2"/>
        </w:numPr>
        <w:shd w:val="clear" w:color="auto" w:fill="FFFFFF"/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 черговості реалізації проектів будівництва та заходів в межах ДПТ;</w:t>
      </w:r>
    </w:p>
    <w:p w:rsidR="006245D6" w:rsidRPr="006245D6" w:rsidRDefault="006245D6" w:rsidP="00B543A9">
      <w:pPr>
        <w:numPr>
          <w:ilvl w:val="0"/>
          <w:numId w:val="2"/>
        </w:numPr>
        <w:shd w:val="clear" w:color="auto" w:fill="FFFFFF"/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поліпшення архітектурно-планувальної організації території.</w:t>
      </w:r>
    </w:p>
    <w:p w:rsidR="006245D6" w:rsidRPr="00637132" w:rsidRDefault="00637132" w:rsidP="00B543A9">
      <w:pPr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Задачі розроблення ДПТ - р</w:t>
      </w:r>
      <w:r w:rsidR="006245D6" w:rsidRPr="00624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озвиток інфраструктури, забезпечення комфортних умов для проживання мешканців 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міста</w:t>
      </w:r>
      <w:r w:rsidR="006245D6" w:rsidRPr="00624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створення сприятливих умов для збалансованого економічного та соціального розвитку, забезпечення сумісності забудови окремих земельних ділянок з оточуючою забудовою та землекористуванням, сприяння та вирішення інших завдань детального плану території. </w:t>
      </w:r>
    </w:p>
    <w:p w:rsidR="003F1512" w:rsidRPr="00637132" w:rsidRDefault="006245D6" w:rsidP="00B543A9">
      <w:pPr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Розробка пропозицій щодо 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планування та забудови частини громадського центру м. Решетилівка, благоустрою та озеленення публічних просторів, створення зон активного відпочинку, </w:t>
      </w:r>
      <w:r w:rsidRPr="00624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поліпшення навколишнього природного середовища, забезпечення всіх заходів санітарного та епідеміологічного благополуччя населення, вирішення інших завдань. Визначення напрямів, черговості та обсягів подальшої діяльності щодо: попереднього проведення інженерної підготовки та інженерного забезпечення території; створення транспортної інфраструктури; організації транспортного і пішохідного руху, розміщення місць паркування транспортних засобів; охорони та поліпшення стану навколишнього середовища, забезпечення екологічної безпеки; комплексного благоустрою та озеленення; використання підземного простору.  </w:t>
      </w:r>
    </w:p>
    <w:p w:rsidR="006245D6" w:rsidRPr="006245D6" w:rsidRDefault="006245D6" w:rsidP="00B543A9">
      <w:pPr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45D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Ключові питання:</w:t>
      </w:r>
    </w:p>
    <w:p w:rsidR="006245D6" w:rsidRPr="006245D6" w:rsidRDefault="006245D6" w:rsidP="00B543A9">
      <w:pPr>
        <w:numPr>
          <w:ilvl w:val="0"/>
          <w:numId w:val="3"/>
        </w:numPr>
        <w:shd w:val="clear" w:color="auto" w:fill="FFFFFF"/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створення комфортних умов для проживання мешканців – забезпечення нормативним соціально-гарантованим рівнем установами і підприємствами обслуговування,  нормативним рівнем озеленення, та ін.;</w:t>
      </w:r>
    </w:p>
    <w:p w:rsidR="006245D6" w:rsidRPr="006245D6" w:rsidRDefault="006245D6" w:rsidP="00B543A9">
      <w:pPr>
        <w:numPr>
          <w:ilvl w:val="0"/>
          <w:numId w:val="3"/>
        </w:numPr>
        <w:shd w:val="clear" w:color="auto" w:fill="FFFFFF"/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 повноцінного високоякісного життєвого середовища.</w:t>
      </w:r>
    </w:p>
    <w:p w:rsidR="003F1512" w:rsidRPr="00637132" w:rsidRDefault="006245D6" w:rsidP="00B543A9">
      <w:pPr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4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Проект детального плану території складається з </w:t>
      </w:r>
      <w:r w:rsidR="003F1512"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розділів пояснювальної записки та графічних матеріалів, </w:t>
      </w:r>
      <w:r w:rsidRPr="00624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тому числі розділ «Охорона навколишнього природного середовища», який розробляється у  складі проекту містобудівної документації. </w:t>
      </w:r>
    </w:p>
    <w:p w:rsidR="006245D6" w:rsidRPr="006245D6" w:rsidRDefault="006245D6" w:rsidP="00B543A9">
      <w:pPr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Територія площею </w:t>
      </w:r>
      <w:r w:rsidR="003F1512"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4,5</w:t>
      </w:r>
      <w:r w:rsidRPr="00624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га, на яку розробляється детальний план, знаходиться у </w:t>
      </w:r>
      <w:r w:rsidR="003F1512"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центральній частині міста Решетилівка, на території загальноміського громадського центру</w:t>
      </w:r>
      <w:r w:rsidRPr="00624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має такі межі:</w:t>
      </w:r>
    </w:p>
    <w:p w:rsidR="006245D6" w:rsidRPr="006245D6" w:rsidRDefault="006245D6" w:rsidP="00B543A9">
      <w:pPr>
        <w:numPr>
          <w:ilvl w:val="0"/>
          <w:numId w:val="4"/>
        </w:numPr>
        <w:shd w:val="clear" w:color="auto" w:fill="FFFFFF"/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r w:rsidR="003F1512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півночі</w:t>
      </w:r>
      <w:r w:rsidRPr="0062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512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заходу </w:t>
      </w:r>
      <w:r w:rsidRPr="0062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вул.</w:t>
      </w:r>
      <w:r w:rsidR="003F1512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Покровська</w:t>
      </w:r>
      <w:r w:rsidRPr="0062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45D6" w:rsidRPr="00637132" w:rsidRDefault="003F1512" w:rsidP="00B543A9">
      <w:pPr>
        <w:numPr>
          <w:ilvl w:val="0"/>
          <w:numId w:val="4"/>
        </w:numPr>
        <w:shd w:val="clear" w:color="auto" w:fill="FFFFFF"/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r w:rsidR="006245D6" w:rsidRPr="0062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сходу – вул. 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Шевченка;</w:t>
      </w:r>
    </w:p>
    <w:p w:rsidR="003F1512" w:rsidRPr="006245D6" w:rsidRDefault="003F1512" w:rsidP="00B543A9">
      <w:pPr>
        <w:numPr>
          <w:ilvl w:val="0"/>
          <w:numId w:val="4"/>
        </w:numPr>
        <w:shd w:val="clear" w:color="auto" w:fill="FFFFFF"/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півдня – проїзд загального користування.</w:t>
      </w:r>
    </w:p>
    <w:p w:rsidR="003F1512" w:rsidRPr="00637132" w:rsidRDefault="006245D6" w:rsidP="00B543A9">
      <w:pPr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Концепцією проекту передбачається </w:t>
      </w:r>
      <w:r w:rsidR="00637132"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удосконалення забудови громадського центру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637132"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створення середовища 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більш комфортно</w:t>
      </w:r>
      <w:r w:rsidR="00637132"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проживання людини, </w:t>
      </w:r>
      <w:r w:rsidR="003F1512"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саме:</w:t>
      </w:r>
    </w:p>
    <w:p w:rsidR="003F1512" w:rsidRPr="00637132" w:rsidRDefault="003F1512" w:rsidP="00B543A9">
      <w:pPr>
        <w:pStyle w:val="a3"/>
        <w:numPr>
          <w:ilvl w:val="1"/>
          <w:numId w:val="4"/>
        </w:numPr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комплексний благоустрій та озеленення культурно-розважальної зони загальноміського громадського центру м. Решетилівка</w:t>
      </w:r>
      <w:r w:rsidR="0044412F"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4412F" w:rsidRPr="00637132" w:rsidRDefault="006245D6" w:rsidP="00B543A9">
      <w:pPr>
        <w:pStyle w:val="a3"/>
        <w:numPr>
          <w:ilvl w:val="1"/>
          <w:numId w:val="4"/>
        </w:numPr>
        <w:tabs>
          <w:tab w:val="left" w:pos="142"/>
        </w:tabs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розміщення автостоянок</w:t>
      </w:r>
      <w:r w:rsidR="0044412F"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відвідувачів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дитячих майданчиків, зон відпочинку дорослого населення, </w:t>
      </w:r>
    </w:p>
    <w:p w:rsidR="0044412F" w:rsidRPr="00637132" w:rsidRDefault="0044412F" w:rsidP="00B543A9">
      <w:pPr>
        <w:pStyle w:val="a3"/>
        <w:numPr>
          <w:ilvl w:val="1"/>
          <w:numId w:val="4"/>
        </w:numPr>
        <w:tabs>
          <w:tab w:val="left" w:pos="142"/>
        </w:tabs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розміщення </w:t>
      </w:r>
      <w:r w:rsidR="006245D6"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господарськ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ої</w:t>
      </w:r>
      <w:r w:rsidR="006245D6"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зон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</w:p>
    <w:p w:rsidR="00637132" w:rsidRPr="00637132" w:rsidRDefault="00637132" w:rsidP="00637132">
      <w:pPr>
        <w:pStyle w:val="a3"/>
        <w:tabs>
          <w:tab w:val="left" w:pos="142"/>
        </w:tabs>
        <w:ind w:left="426" w:righ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7132" w:rsidRPr="00637132" w:rsidRDefault="006245D6" w:rsidP="00637132">
      <w:pPr>
        <w:pStyle w:val="a3"/>
        <w:numPr>
          <w:ilvl w:val="0"/>
          <w:numId w:val="6"/>
        </w:numPr>
        <w:tabs>
          <w:tab w:val="left" w:pos="142"/>
        </w:tabs>
        <w:ind w:righ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основні </w:t>
      </w:r>
      <w:r w:rsidR="00637132" w:rsidRPr="00637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техніко-економічні  показники, </w:t>
      </w:r>
      <w:r w:rsidRPr="00637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 відображають зміст містобудівної документації: </w:t>
      </w:r>
    </w:p>
    <w:p w:rsidR="002C2CC1" w:rsidRPr="00637132" w:rsidRDefault="006245D6" w:rsidP="00637132">
      <w:pPr>
        <w:tabs>
          <w:tab w:val="left" w:pos="142"/>
        </w:tabs>
        <w:ind w:left="360" w:right="0" w:firstLine="0"/>
        <w:rPr>
          <w:rFonts w:ascii="Times New Roman" w:hAnsi="Times New Roman" w:cs="Times New Roman"/>
          <w:sz w:val="24"/>
          <w:szCs w:val="24"/>
        </w:rPr>
      </w:pPr>
      <w:r w:rsidRPr="00637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ОСНОВНІ ТЕХНІКО-ЕКОНОМІЧНІ ПОКАЗНИКИ</w:t>
      </w: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92"/>
        <w:gridCol w:w="4394"/>
        <w:gridCol w:w="1276"/>
        <w:gridCol w:w="1417"/>
        <w:gridCol w:w="1276"/>
      </w:tblGrid>
      <w:tr w:rsidR="0044412F" w:rsidRPr="00637132" w:rsidTr="0044412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12F" w:rsidRPr="00637132" w:rsidRDefault="0044412F" w:rsidP="00637132">
            <w:pPr>
              <w:widowControl w:val="0"/>
              <w:tabs>
                <w:tab w:val="left" w:pos="142"/>
              </w:tabs>
              <w:autoSpaceDE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12F" w:rsidRPr="00637132" w:rsidRDefault="0044412F" w:rsidP="00637132">
            <w:pPr>
              <w:widowControl w:val="0"/>
              <w:tabs>
                <w:tab w:val="left" w:pos="142"/>
              </w:tabs>
              <w:autoSpaceDE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12F" w:rsidRPr="00637132" w:rsidRDefault="0044412F" w:rsidP="00637132">
            <w:pPr>
              <w:widowControl w:val="0"/>
              <w:tabs>
                <w:tab w:val="left" w:pos="142"/>
                <w:tab w:val="left" w:pos="1321"/>
              </w:tabs>
              <w:autoSpaceDE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12F" w:rsidRPr="00637132" w:rsidRDefault="0044412F" w:rsidP="00637132">
            <w:pPr>
              <w:widowControl w:val="0"/>
              <w:tabs>
                <w:tab w:val="left" w:pos="142"/>
              </w:tabs>
              <w:autoSpaceDE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12F" w:rsidRPr="00637132" w:rsidRDefault="0044412F" w:rsidP="00637132">
            <w:pPr>
              <w:widowControl w:val="0"/>
              <w:tabs>
                <w:tab w:val="left" w:pos="142"/>
                <w:tab w:val="left" w:pos="1032"/>
              </w:tabs>
              <w:autoSpaceDE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</w:tr>
      <w:tr w:rsidR="0044412F" w:rsidRPr="00637132" w:rsidTr="0044412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12F" w:rsidRPr="00637132" w:rsidRDefault="0044412F" w:rsidP="00637132">
            <w:pPr>
              <w:widowControl w:val="0"/>
              <w:tabs>
                <w:tab w:val="left" w:pos="142"/>
              </w:tabs>
              <w:autoSpaceDE w:val="0"/>
              <w:ind w:left="0" w:righ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2F" w:rsidRPr="00637132" w:rsidRDefault="0044412F" w:rsidP="00637132">
            <w:pPr>
              <w:widowControl w:val="0"/>
              <w:tabs>
                <w:tab w:val="left" w:pos="142"/>
              </w:tabs>
              <w:autoSpaceDE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Території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2F" w:rsidRPr="00637132" w:rsidRDefault="0044412F" w:rsidP="00637132">
            <w:pPr>
              <w:widowControl w:val="0"/>
              <w:tabs>
                <w:tab w:val="left" w:pos="142"/>
                <w:tab w:val="left" w:pos="1321"/>
              </w:tabs>
              <w:autoSpaceDE w:val="0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2F" w:rsidRPr="00637132" w:rsidRDefault="0044412F" w:rsidP="00637132">
            <w:pPr>
              <w:widowControl w:val="0"/>
              <w:tabs>
                <w:tab w:val="left" w:pos="142"/>
              </w:tabs>
              <w:autoSpaceDE w:val="0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12F" w:rsidRPr="00637132" w:rsidRDefault="0044412F" w:rsidP="00637132">
            <w:pPr>
              <w:widowControl w:val="0"/>
              <w:tabs>
                <w:tab w:val="left" w:pos="142"/>
              </w:tabs>
              <w:autoSpaceDE w:val="0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2F" w:rsidRPr="00637132" w:rsidTr="0044412F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12F" w:rsidRPr="00637132" w:rsidRDefault="0044412F" w:rsidP="00637132">
            <w:pPr>
              <w:widowControl w:val="0"/>
              <w:tabs>
                <w:tab w:val="left" w:pos="142"/>
              </w:tabs>
              <w:autoSpaceDE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12F" w:rsidRPr="00637132" w:rsidRDefault="0044412F" w:rsidP="00637132">
            <w:pPr>
              <w:widowControl w:val="0"/>
              <w:tabs>
                <w:tab w:val="left" w:pos="142"/>
              </w:tabs>
              <w:autoSpaceDE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Площа території в межах розробки Детального плану</w:t>
            </w:r>
          </w:p>
          <w:p w:rsidR="0044412F" w:rsidRPr="00637132" w:rsidRDefault="0044412F" w:rsidP="00637132">
            <w:pPr>
              <w:widowControl w:val="0"/>
              <w:tabs>
                <w:tab w:val="left" w:pos="142"/>
              </w:tabs>
              <w:autoSpaceDE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 xml:space="preserve">в тому числі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2F" w:rsidRPr="00637132" w:rsidRDefault="0044412F" w:rsidP="00637132">
            <w:pPr>
              <w:widowControl w:val="0"/>
              <w:tabs>
                <w:tab w:val="left" w:pos="142"/>
                <w:tab w:val="left" w:pos="1321"/>
              </w:tabs>
              <w:autoSpaceDE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2F" w:rsidRPr="00637132" w:rsidRDefault="0044412F" w:rsidP="00637132">
            <w:pPr>
              <w:widowControl w:val="0"/>
              <w:tabs>
                <w:tab w:val="left" w:pos="142"/>
              </w:tabs>
              <w:autoSpaceDE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12F" w:rsidRPr="00637132" w:rsidRDefault="0044412F" w:rsidP="00637132">
            <w:pPr>
              <w:widowControl w:val="0"/>
              <w:tabs>
                <w:tab w:val="left" w:pos="142"/>
              </w:tabs>
              <w:autoSpaceDE w:val="0"/>
              <w:snapToGrid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2F" w:rsidRPr="00637132" w:rsidTr="0044412F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 території </w:t>
            </w:r>
            <w:r w:rsidRPr="0063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культурно-розважальної зони громадського центру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2F" w:rsidRPr="00637132" w:rsidTr="0044412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 забудови, усього, у т.ч.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2F" w:rsidRPr="00637132" w:rsidTr="0044412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існуючої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2F" w:rsidRPr="00637132" w:rsidTr="0044412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запроектованої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2F" w:rsidRPr="00637132" w:rsidTr="0044412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 твердого покриття усього, у т.ч.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2F" w:rsidRPr="00637132" w:rsidTr="0044412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існуючого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2F" w:rsidRPr="00637132" w:rsidTr="0044412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запроектованого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2F" w:rsidRPr="00637132" w:rsidTr="0044412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 озеленення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13 150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2F" w:rsidRPr="00637132" w:rsidTr="0044412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2F" w:rsidRPr="00637132" w:rsidTr="0044412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Інженерне обладнання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2F" w:rsidRPr="00637132" w:rsidTr="0044412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Водопостачання - джерела водопостачання, що передбачені для використання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Від існуючих мереж</w:t>
            </w:r>
          </w:p>
        </w:tc>
      </w:tr>
      <w:tr w:rsidR="0044412F" w:rsidRPr="00637132" w:rsidTr="0044412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Каналізація – система очистки стічних вод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Від існуючих мереж</w:t>
            </w:r>
          </w:p>
        </w:tc>
      </w:tr>
      <w:tr w:rsidR="0044412F" w:rsidRPr="00637132" w:rsidTr="0044412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Електропостачання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12F" w:rsidRPr="00637132" w:rsidRDefault="0044412F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Від існуючих мереж</w:t>
            </w:r>
          </w:p>
        </w:tc>
      </w:tr>
      <w:tr w:rsidR="00B543A9" w:rsidRPr="00637132" w:rsidTr="0044412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A9" w:rsidRPr="00637132" w:rsidRDefault="00B543A9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43A9" w:rsidRPr="00637132" w:rsidRDefault="00B543A9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Газопостачання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3A9" w:rsidRPr="00637132" w:rsidRDefault="00B543A9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3A9" w:rsidRPr="00637132" w:rsidRDefault="00B543A9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3A9" w:rsidRPr="00637132" w:rsidRDefault="00B543A9" w:rsidP="00637132">
            <w:pPr>
              <w:shd w:val="clear" w:color="auto" w:fill="FFFFFF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Від існуючих мереж</w:t>
            </w:r>
          </w:p>
        </w:tc>
      </w:tr>
    </w:tbl>
    <w:p w:rsidR="0044412F" w:rsidRPr="00637132" w:rsidRDefault="0044412F" w:rsidP="00B543A9">
      <w:pPr>
        <w:tabs>
          <w:tab w:val="left" w:pos="142"/>
        </w:tabs>
        <w:ind w:left="0" w:right="0" w:firstLine="426"/>
        <w:rPr>
          <w:rFonts w:ascii="Times New Roman" w:hAnsi="Times New Roman" w:cs="Times New Roman"/>
          <w:sz w:val="24"/>
          <w:szCs w:val="24"/>
        </w:rPr>
      </w:pPr>
    </w:p>
    <w:p w:rsidR="00B543A9" w:rsidRPr="00637132" w:rsidRDefault="0044412F" w:rsidP="00637132">
      <w:pPr>
        <w:pStyle w:val="a3"/>
        <w:numPr>
          <w:ilvl w:val="0"/>
          <w:numId w:val="6"/>
        </w:numPr>
        <w:tabs>
          <w:tab w:val="left" w:pos="142"/>
        </w:tabs>
        <w:ind w:righ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 про замовника та розробника проектів містобудівної документації та підстави для їх розроблення: </w:t>
      </w:r>
    </w:p>
    <w:p w:rsidR="00B543A9" w:rsidRPr="00637132" w:rsidRDefault="0044412F" w:rsidP="00B543A9">
      <w:pPr>
        <w:pStyle w:val="a3"/>
        <w:shd w:val="clear" w:color="auto" w:fill="FFFFFF"/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Замовник розробки – </w:t>
      </w:r>
      <w:r w:rsidR="00B543A9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Виконавчий комітет Решетилівської міської ради</w:t>
      </w:r>
    </w:p>
    <w:p w:rsidR="00B543A9" w:rsidRPr="00637132" w:rsidRDefault="0044412F" w:rsidP="00B543A9">
      <w:pPr>
        <w:pStyle w:val="a3"/>
        <w:shd w:val="clear" w:color="auto" w:fill="FFFFFF"/>
        <w:tabs>
          <w:tab w:val="left" w:pos="142"/>
        </w:tabs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Розробник – </w:t>
      </w:r>
      <w:r w:rsidR="00B543A9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ФОП </w:t>
      </w:r>
      <w:proofErr w:type="spellStart"/>
      <w:r w:rsidR="00B543A9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Бородич</w:t>
      </w:r>
      <w:proofErr w:type="spellEnd"/>
      <w:r w:rsidR="00B543A9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</w:t>
      </w:r>
    </w:p>
    <w:p w:rsidR="00637132" w:rsidRPr="00637132" w:rsidRDefault="0044412F" w:rsidP="00637132">
      <w:pPr>
        <w:pStyle w:val="a3"/>
        <w:numPr>
          <w:ilvl w:val="0"/>
          <w:numId w:val="6"/>
        </w:numPr>
        <w:tabs>
          <w:tab w:val="left" w:pos="142"/>
        </w:tabs>
        <w:ind w:righ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про посадову особу замовника містобудівної документації,  відповідальну за забезпечення організації розгляду пропозицій, та адресу, за якою можуть надсилатися пропозиції (зауваження): </w:t>
      </w:r>
    </w:p>
    <w:p w:rsidR="00B543A9" w:rsidRPr="00637132" w:rsidRDefault="0044412F" w:rsidP="00637132">
      <w:pPr>
        <w:tabs>
          <w:tab w:val="left" w:pos="142"/>
        </w:tabs>
        <w:ind w:left="36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</w:t>
      </w:r>
      <w:r w:rsidR="00637132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</w:t>
      </w:r>
      <w:r w:rsidR="00637132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відповідальн</w:t>
      </w:r>
      <w:r w:rsidR="00637132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забезпечення організації розгляду пропозицій:</w:t>
      </w:r>
      <w:r w:rsidR="00CA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 відділу архітектури та</w:t>
      </w:r>
      <w:r w:rsidR="00B543A9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містобудування Приходьк</w:t>
      </w:r>
      <w:r w:rsidR="00637132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543A9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 Всеволодович .</w:t>
      </w:r>
    </w:p>
    <w:p w:rsidR="00637132" w:rsidRPr="00637132" w:rsidRDefault="0044412F" w:rsidP="00637132">
      <w:pPr>
        <w:tabs>
          <w:tab w:val="left" w:pos="142"/>
        </w:tabs>
        <w:ind w:left="36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Адреса для подання зауважень та пропозицій у письмовій формі: </w:t>
      </w:r>
      <w:r w:rsidR="00CA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 архітектури та</w:t>
      </w:r>
      <w:r w:rsidR="00B543A9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містобудування Решетилівської міської ради Полтавсь</w:t>
      </w:r>
      <w:r w:rsidR="00CA1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кої області (вул. Покровська, 14</w:t>
      </w:r>
      <w:bookmarkStart w:id="0" w:name="_GoBack"/>
      <w:bookmarkEnd w:id="0"/>
      <w:r w:rsidR="00B543A9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 Решетилівка. Полтавська обл., індекс 38400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Електронна адреса:  </w:t>
      </w:r>
      <w:r w:rsidR="00B543A9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="00B543A9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B543A9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</w:t>
      </w:r>
      <w:hyperlink r:id="rId6" w:history="1">
        <w:r w:rsidR="00B543A9" w:rsidRPr="0063713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otg@resh.gov.ua</w:t>
        </w:r>
      </w:hyperlink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Зауваження і пропозиції приймаються у строк з </w:t>
      </w:r>
      <w:r w:rsidR="00B543A9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543A9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B543A9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B543A9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543A9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B543A9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132" w:rsidRPr="00637132" w:rsidRDefault="0044412F" w:rsidP="00637132">
      <w:pPr>
        <w:pStyle w:val="a3"/>
        <w:numPr>
          <w:ilvl w:val="0"/>
          <w:numId w:val="6"/>
        </w:numPr>
        <w:tabs>
          <w:tab w:val="left" w:pos="142"/>
        </w:tabs>
        <w:ind w:righ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7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 про дату, час і місце проведення громадських слухань:</w:t>
      </w:r>
    </w:p>
    <w:p w:rsidR="00B543A9" w:rsidRPr="00637132" w:rsidRDefault="0044412F" w:rsidP="00637132">
      <w:pPr>
        <w:tabs>
          <w:tab w:val="left" w:pos="142"/>
        </w:tabs>
        <w:ind w:left="36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Громадські слухання проводяться відповідно до постанови Кабінету Міністрів України від 25.05. 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 </w:t>
      </w:r>
    </w:p>
    <w:p w:rsidR="00B543A9" w:rsidRPr="00637132" w:rsidRDefault="00B543A9" w:rsidP="00637132">
      <w:pPr>
        <w:tabs>
          <w:tab w:val="left" w:pos="142"/>
        </w:tabs>
        <w:ind w:left="36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r w:rsidR="0044412F"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громадські слухання не проводяться через встановлення карантину та запровадження проти епідеміологічних заходів у зв’язку з поширенням гострої респіраторної хвороби, спричиненої корона вірусом SARS-CoV-2 (постанова Кабінету Міністрів України від 22 липня 2020 року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 вірусом SARS-CoV-2).</w:t>
      </w:r>
    </w:p>
    <w:p w:rsidR="0044412F" w:rsidRPr="00637132" w:rsidRDefault="0044412F" w:rsidP="00637132">
      <w:pPr>
        <w:tabs>
          <w:tab w:val="left" w:pos="142"/>
        </w:tabs>
        <w:ind w:left="36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12F" w:rsidRPr="00637132" w:rsidRDefault="0044412F" w:rsidP="00B543A9">
      <w:pPr>
        <w:tabs>
          <w:tab w:val="left" w:pos="142"/>
        </w:tabs>
        <w:ind w:left="0" w:right="0" w:firstLine="426"/>
        <w:rPr>
          <w:rFonts w:ascii="Times New Roman" w:hAnsi="Times New Roman" w:cs="Times New Roman"/>
          <w:sz w:val="24"/>
          <w:szCs w:val="24"/>
        </w:rPr>
      </w:pPr>
    </w:p>
    <w:sectPr w:rsidR="0044412F" w:rsidRPr="00637132" w:rsidSect="00B543A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2E4"/>
    <w:multiLevelType w:val="hybridMultilevel"/>
    <w:tmpl w:val="4D3EA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2BED"/>
    <w:multiLevelType w:val="multilevel"/>
    <w:tmpl w:val="C79E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126BA"/>
    <w:multiLevelType w:val="multilevel"/>
    <w:tmpl w:val="E01C4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F293D"/>
    <w:multiLevelType w:val="hybridMultilevel"/>
    <w:tmpl w:val="3F144B38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F40184B"/>
    <w:multiLevelType w:val="multilevel"/>
    <w:tmpl w:val="1A84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D3990"/>
    <w:multiLevelType w:val="multilevel"/>
    <w:tmpl w:val="2BFE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927908"/>
    <w:multiLevelType w:val="multilevel"/>
    <w:tmpl w:val="E894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54185"/>
    <w:multiLevelType w:val="hybridMultilevel"/>
    <w:tmpl w:val="7A42A364"/>
    <w:lvl w:ilvl="0" w:tplc="636A3012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F00AB"/>
    <w:rsid w:val="000B7D91"/>
    <w:rsid w:val="00236127"/>
    <w:rsid w:val="002C2CC1"/>
    <w:rsid w:val="003F1512"/>
    <w:rsid w:val="0044412F"/>
    <w:rsid w:val="006116AE"/>
    <w:rsid w:val="006245D6"/>
    <w:rsid w:val="00637132"/>
    <w:rsid w:val="007366A7"/>
    <w:rsid w:val="007F00AB"/>
    <w:rsid w:val="007F0607"/>
    <w:rsid w:val="00800632"/>
    <w:rsid w:val="00B543A9"/>
    <w:rsid w:val="00B6046C"/>
    <w:rsid w:val="00B80BCC"/>
    <w:rsid w:val="00BF4B66"/>
    <w:rsid w:val="00C5399D"/>
    <w:rsid w:val="00CA12C3"/>
    <w:rsid w:val="00F9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right="-9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07"/>
    <w:rPr>
      <w:lang w:val="uk-UA"/>
    </w:rPr>
  </w:style>
  <w:style w:type="paragraph" w:styleId="1">
    <w:name w:val="heading 1"/>
    <w:basedOn w:val="a"/>
    <w:link w:val="10"/>
    <w:uiPriority w:val="9"/>
    <w:qFormat/>
    <w:rsid w:val="006245D6"/>
    <w:pPr>
      <w:spacing w:before="100" w:beforeAutospacing="1" w:after="100" w:afterAutospacing="1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0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4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245D6"/>
    <w:rPr>
      <w:b/>
      <w:bCs/>
    </w:rPr>
  </w:style>
  <w:style w:type="character" w:styleId="a5">
    <w:name w:val="Hyperlink"/>
    <w:basedOn w:val="a0"/>
    <w:uiPriority w:val="99"/>
    <w:semiHidden/>
    <w:unhideWhenUsed/>
    <w:rsid w:val="00B54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g@resh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4574</Words>
  <Characters>2608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2021-12-17T12:27:00Z</dcterms:created>
  <dcterms:modified xsi:type="dcterms:W3CDTF">2021-12-20T11:40:00Z</dcterms:modified>
</cp:coreProperties>
</file>