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top w:w="55" w:type="dxa"/>
          <w:left w:w="55" w:type="dxa"/>
          <w:bottom w:w="55" w:type="dxa"/>
          <w:right w:w="55" w:type="dxa"/>
        </w:tblCellMar>
        <w:tblLook w:val="0000" w:firstRow="0" w:lastRow="0" w:firstColumn="0" w:lastColumn="0" w:noHBand="0" w:noVBand="0"/>
      </w:tblPr>
      <w:tblGrid>
        <w:gridCol w:w="3207"/>
        <w:gridCol w:w="2294"/>
        <w:gridCol w:w="4144"/>
      </w:tblGrid>
      <w:tr w:rsidR="00CE095A" w:rsidTr="00200E22">
        <w:tc>
          <w:tcPr>
            <w:tcW w:w="3207" w:type="dxa"/>
            <w:shd w:val="clear" w:color="auto" w:fill="auto"/>
          </w:tcPr>
          <w:p w:rsidR="00CE095A" w:rsidRDefault="00CE095A" w:rsidP="00200E22">
            <w:pPr>
              <w:pStyle w:val="a3"/>
              <w:tabs>
                <w:tab w:val="left" w:pos="5670"/>
              </w:tabs>
              <w:snapToGrid w:val="0"/>
              <w:rPr>
                <w:rFonts w:ascii="Liberation Serif" w:hAnsi="Liberation Serif" w:cs="Liberation Serif"/>
                <w:color w:val="000000"/>
              </w:rPr>
            </w:pPr>
          </w:p>
        </w:tc>
        <w:tc>
          <w:tcPr>
            <w:tcW w:w="2294" w:type="dxa"/>
            <w:shd w:val="clear" w:color="auto" w:fill="auto"/>
          </w:tcPr>
          <w:p w:rsidR="00CE095A" w:rsidRDefault="00CE095A" w:rsidP="00200E22">
            <w:pPr>
              <w:pStyle w:val="a3"/>
              <w:tabs>
                <w:tab w:val="left" w:pos="5670"/>
              </w:tabs>
              <w:snapToGrid w:val="0"/>
              <w:rPr>
                <w:rFonts w:ascii="Liberation Serif" w:hAnsi="Liberation Serif" w:cs="Liberation Serif"/>
                <w:color w:val="000000"/>
              </w:rPr>
            </w:pPr>
          </w:p>
        </w:tc>
        <w:tc>
          <w:tcPr>
            <w:tcW w:w="4144" w:type="dxa"/>
            <w:shd w:val="clear" w:color="auto" w:fill="auto"/>
          </w:tcPr>
          <w:p w:rsidR="00CE095A" w:rsidRDefault="002433EC" w:rsidP="00200E22">
            <w:pPr>
              <w:tabs>
                <w:tab w:val="left" w:pos="5670"/>
              </w:tabs>
              <w:ind w:left="166"/>
              <w:rPr>
                <w:color w:val="000000"/>
                <w:sz w:val="28"/>
                <w:szCs w:val="28"/>
              </w:rPr>
            </w:pPr>
            <w:r>
              <w:rPr>
                <w:color w:val="000000"/>
                <w:sz w:val="28"/>
                <w:szCs w:val="28"/>
              </w:rPr>
              <w:t xml:space="preserve">Додаток </w:t>
            </w:r>
            <w:r w:rsidR="00CE095A">
              <w:rPr>
                <w:color w:val="000000"/>
                <w:sz w:val="28"/>
                <w:szCs w:val="28"/>
              </w:rPr>
              <w:t xml:space="preserve"> 13</w:t>
            </w:r>
          </w:p>
          <w:p w:rsidR="00CE095A" w:rsidRDefault="00CE095A" w:rsidP="00200E22">
            <w:pPr>
              <w:tabs>
                <w:tab w:val="left" w:pos="5670"/>
              </w:tabs>
              <w:ind w:left="166"/>
            </w:pPr>
            <w:r>
              <w:rPr>
                <w:color w:val="000000"/>
                <w:sz w:val="28"/>
                <w:szCs w:val="28"/>
              </w:rPr>
              <w:t>До Програми</w:t>
            </w:r>
          </w:p>
        </w:tc>
      </w:tr>
      <w:tr w:rsidR="00CE095A" w:rsidTr="00200E22">
        <w:tc>
          <w:tcPr>
            <w:tcW w:w="3207" w:type="dxa"/>
            <w:shd w:val="clear" w:color="auto" w:fill="auto"/>
          </w:tcPr>
          <w:p w:rsidR="00CE095A" w:rsidRDefault="00CE095A" w:rsidP="00200E22">
            <w:pPr>
              <w:pStyle w:val="a3"/>
              <w:tabs>
                <w:tab w:val="left" w:pos="5670"/>
              </w:tabs>
              <w:snapToGrid w:val="0"/>
              <w:rPr>
                <w:rFonts w:ascii="Liberation Serif" w:hAnsi="Liberation Serif" w:cs="Liberation Serif"/>
                <w:color w:val="000000"/>
                <w:sz w:val="28"/>
                <w:szCs w:val="28"/>
              </w:rPr>
            </w:pPr>
          </w:p>
        </w:tc>
        <w:tc>
          <w:tcPr>
            <w:tcW w:w="2294" w:type="dxa"/>
            <w:shd w:val="clear" w:color="auto" w:fill="auto"/>
          </w:tcPr>
          <w:p w:rsidR="00CE095A" w:rsidRDefault="00CE095A" w:rsidP="00200E22">
            <w:pPr>
              <w:pStyle w:val="a3"/>
              <w:tabs>
                <w:tab w:val="left" w:pos="5670"/>
              </w:tabs>
              <w:snapToGrid w:val="0"/>
              <w:rPr>
                <w:rFonts w:ascii="Liberation Serif" w:hAnsi="Liberation Serif" w:cs="Liberation Serif"/>
                <w:color w:val="000000"/>
              </w:rPr>
            </w:pPr>
          </w:p>
        </w:tc>
        <w:tc>
          <w:tcPr>
            <w:tcW w:w="4144" w:type="dxa"/>
            <w:shd w:val="clear" w:color="auto" w:fill="auto"/>
          </w:tcPr>
          <w:p w:rsidR="00CE095A" w:rsidRDefault="00CE095A" w:rsidP="00200E22">
            <w:pPr>
              <w:tabs>
                <w:tab w:val="left" w:pos="5670"/>
              </w:tabs>
              <w:snapToGrid w:val="0"/>
              <w:ind w:left="166"/>
              <w:rPr>
                <w:rFonts w:ascii="Liberation Serif" w:hAnsi="Liberation Serif"/>
                <w:color w:val="000000"/>
                <w:sz w:val="28"/>
                <w:szCs w:val="28"/>
              </w:rPr>
            </w:pPr>
          </w:p>
        </w:tc>
      </w:tr>
    </w:tbl>
    <w:p w:rsidR="00CE095A" w:rsidRDefault="00CE095A" w:rsidP="00CE095A">
      <w:pPr>
        <w:jc w:val="center"/>
      </w:pPr>
      <w:r>
        <w:rPr>
          <w:b/>
          <w:bCs/>
          <w:sz w:val="28"/>
          <w:szCs w:val="28"/>
        </w:rPr>
        <w:t>ПОРЯДОК</w:t>
      </w:r>
    </w:p>
    <w:p w:rsidR="00CE095A" w:rsidRDefault="00CE095A" w:rsidP="00CE095A">
      <w:pPr>
        <w:jc w:val="center"/>
      </w:pPr>
      <w:r>
        <w:rPr>
          <w:b/>
          <w:bCs/>
          <w:sz w:val="28"/>
          <w:szCs w:val="28"/>
        </w:rPr>
        <w:t>організації поховання померлих самотніх (бездітних та безрідних) громадян, осіб без певного місця проживання, знайдених невпізнаних трупів на території Решетилівської міської ради</w:t>
      </w:r>
    </w:p>
    <w:p w:rsidR="00CE095A" w:rsidRDefault="00CE095A" w:rsidP="00CE095A">
      <w:pPr>
        <w:jc w:val="both"/>
        <w:rPr>
          <w:b/>
          <w:bCs/>
          <w:sz w:val="28"/>
          <w:szCs w:val="28"/>
        </w:rPr>
      </w:pPr>
    </w:p>
    <w:p w:rsidR="00CE095A" w:rsidRDefault="00CE095A" w:rsidP="00CE095A">
      <w:pPr>
        <w:jc w:val="center"/>
      </w:pPr>
      <w:r>
        <w:rPr>
          <w:b/>
          <w:bCs/>
          <w:sz w:val="28"/>
          <w:szCs w:val="28"/>
        </w:rPr>
        <w:t>1. Загальні положення</w:t>
      </w:r>
    </w:p>
    <w:p w:rsidR="00CE095A" w:rsidRDefault="00CE095A" w:rsidP="00CE095A">
      <w:pPr>
        <w:jc w:val="both"/>
        <w:rPr>
          <w:b/>
          <w:bCs/>
          <w:sz w:val="28"/>
          <w:szCs w:val="28"/>
        </w:rPr>
      </w:pPr>
    </w:p>
    <w:p w:rsidR="00CE095A" w:rsidRDefault="00CE095A" w:rsidP="002433EC">
      <w:pPr>
        <w:ind w:firstLine="567"/>
        <w:jc w:val="both"/>
      </w:pPr>
      <w:r>
        <w:rPr>
          <w:sz w:val="28"/>
          <w:szCs w:val="28"/>
        </w:rPr>
        <w:t xml:space="preserve">1.1. Порядок організації померлих самотніх (бездітних та безрідних) громадян, осіб без певного місця проживання, знайдених невпізнаних трупів  на території Решетилівської міської ради (надалі - Порядок) розроблено відповідно до Закону України </w:t>
      </w:r>
      <w:proofErr w:type="spellStart"/>
      <w:r>
        <w:rPr>
          <w:sz w:val="28"/>
          <w:szCs w:val="28"/>
        </w:rPr>
        <w:t>„Про</w:t>
      </w:r>
      <w:proofErr w:type="spellEnd"/>
      <w:r>
        <w:rPr>
          <w:sz w:val="28"/>
          <w:szCs w:val="28"/>
        </w:rPr>
        <w:t xml:space="preserve"> поховання та похоронну </w:t>
      </w:r>
      <w:proofErr w:type="spellStart"/>
      <w:r>
        <w:rPr>
          <w:sz w:val="28"/>
          <w:szCs w:val="28"/>
        </w:rPr>
        <w:t>справуˮ</w:t>
      </w:r>
      <w:proofErr w:type="spellEnd"/>
      <w:r>
        <w:rPr>
          <w:sz w:val="28"/>
          <w:szCs w:val="28"/>
        </w:rPr>
        <w:t xml:space="preserve"> від 10 липня 2003 року № 1102-</w:t>
      </w:r>
      <w:r>
        <w:rPr>
          <w:sz w:val="28"/>
          <w:szCs w:val="28"/>
          <w:lang w:val="en-US"/>
        </w:rPr>
        <w:t>IV</w:t>
      </w:r>
      <w:r>
        <w:rPr>
          <w:sz w:val="28"/>
          <w:szCs w:val="28"/>
        </w:rPr>
        <w:t xml:space="preserve"> , Закону України </w:t>
      </w:r>
      <w:proofErr w:type="spellStart"/>
      <w:r>
        <w:rPr>
          <w:sz w:val="28"/>
          <w:szCs w:val="28"/>
        </w:rPr>
        <w:t>„Про</w:t>
      </w:r>
      <w:proofErr w:type="spellEnd"/>
      <w:r>
        <w:rPr>
          <w:sz w:val="28"/>
          <w:szCs w:val="28"/>
        </w:rPr>
        <w:t xml:space="preserve"> місцеве самоврядування в Україні” від 27 травня 1997 року №280/97-ВР, з урахуванням Наказів Державного комітету України з питань житлово-комунального господарства </w:t>
      </w:r>
      <w:proofErr w:type="spellStart"/>
      <w:r>
        <w:rPr>
          <w:sz w:val="28"/>
          <w:szCs w:val="28"/>
        </w:rPr>
        <w:t>„Про</w:t>
      </w:r>
      <w:proofErr w:type="spellEnd"/>
      <w:r>
        <w:rPr>
          <w:sz w:val="28"/>
          <w:szCs w:val="28"/>
        </w:rPr>
        <w:t xml:space="preserve"> затвердження нормативно-правових актів щодо реалізації Закону України </w:t>
      </w:r>
      <w:proofErr w:type="spellStart"/>
      <w:r>
        <w:rPr>
          <w:sz w:val="28"/>
          <w:szCs w:val="28"/>
        </w:rPr>
        <w:t>„Про</w:t>
      </w:r>
      <w:proofErr w:type="spellEnd"/>
      <w:r>
        <w:rPr>
          <w:sz w:val="28"/>
          <w:szCs w:val="28"/>
        </w:rPr>
        <w:t xml:space="preserve"> поховання та похоронну </w:t>
      </w:r>
      <w:proofErr w:type="spellStart"/>
      <w:r>
        <w:rPr>
          <w:sz w:val="28"/>
          <w:szCs w:val="28"/>
        </w:rPr>
        <w:t>справуˮ</w:t>
      </w:r>
      <w:proofErr w:type="spellEnd"/>
      <w:r>
        <w:rPr>
          <w:sz w:val="28"/>
          <w:szCs w:val="28"/>
        </w:rPr>
        <w:t xml:space="preserve"> від 19 листопада 2003 р № 193, </w:t>
      </w:r>
      <w:proofErr w:type="spellStart"/>
      <w:r>
        <w:rPr>
          <w:sz w:val="28"/>
          <w:szCs w:val="28"/>
        </w:rPr>
        <w:t>„Про</w:t>
      </w:r>
      <w:proofErr w:type="spellEnd"/>
      <w:r>
        <w:rPr>
          <w:sz w:val="28"/>
          <w:szCs w:val="28"/>
        </w:rPr>
        <w:t xml:space="preserve"> затвердження Єдиної методики вартості надання необхідного мінімального переліку окремих видів комунальних послуг, реалізації предметів ритуальної належності” зі змінами затвердженими наказом Державного комітету України з питань житлово-комунального господарства від 19 листопада 2003 року № 194, наказу Міністерства з питань житлово-комунального господарства України </w:t>
      </w:r>
      <w:proofErr w:type="spellStart"/>
      <w:r>
        <w:rPr>
          <w:sz w:val="28"/>
          <w:szCs w:val="28"/>
        </w:rPr>
        <w:t>„Про</w:t>
      </w:r>
      <w:proofErr w:type="spellEnd"/>
      <w:r>
        <w:rPr>
          <w:sz w:val="28"/>
          <w:szCs w:val="28"/>
        </w:rPr>
        <w:t xml:space="preserve"> затвердження норм часу на надання ритуальних послуг та виготовлення предметів ритуальної належності” від 03 березня 2009 року № 52, наказу Міністерства будівництва, архітектури та житлово-комунального господарства України </w:t>
      </w:r>
      <w:proofErr w:type="spellStart"/>
      <w:r>
        <w:rPr>
          <w:sz w:val="28"/>
          <w:szCs w:val="28"/>
        </w:rPr>
        <w:t>„Про</w:t>
      </w:r>
      <w:proofErr w:type="spellEnd"/>
      <w:r>
        <w:rPr>
          <w:sz w:val="28"/>
          <w:szCs w:val="28"/>
        </w:rPr>
        <w:t xml:space="preserve"> запровадження ритуальної символіки на автотранспортних засобах суб'єктів господарювання, що надають ритуальні послуги з перевезення тіла </w:t>
      </w:r>
      <w:proofErr w:type="spellStart"/>
      <w:r>
        <w:rPr>
          <w:sz w:val="28"/>
          <w:szCs w:val="28"/>
        </w:rPr>
        <w:t>померлогоˮ</w:t>
      </w:r>
      <w:proofErr w:type="spellEnd"/>
      <w:r>
        <w:rPr>
          <w:sz w:val="28"/>
          <w:szCs w:val="28"/>
        </w:rPr>
        <w:t xml:space="preserve"> від 22.06.2006 № 208 (зі змінами), з метою врегулювання відносин при наданні ритуальних послуг в місті </w:t>
      </w:r>
      <w:proofErr w:type="spellStart"/>
      <w:r>
        <w:rPr>
          <w:sz w:val="28"/>
          <w:szCs w:val="28"/>
        </w:rPr>
        <w:t>Решетилівка</w:t>
      </w:r>
      <w:proofErr w:type="spellEnd"/>
      <w:r>
        <w:rPr>
          <w:sz w:val="28"/>
          <w:szCs w:val="28"/>
        </w:rPr>
        <w:t>.</w:t>
      </w:r>
    </w:p>
    <w:p w:rsidR="00CE095A" w:rsidRDefault="00CE095A" w:rsidP="002433EC">
      <w:pPr>
        <w:ind w:firstLine="567"/>
        <w:jc w:val="both"/>
      </w:pPr>
      <w:r>
        <w:rPr>
          <w:sz w:val="28"/>
          <w:szCs w:val="28"/>
        </w:rPr>
        <w:t>1.2. Цей Порядок спрямовується на врегулювання процедури поховання на території Решетилівської міської ради :</w:t>
      </w:r>
    </w:p>
    <w:p w:rsidR="00CE095A" w:rsidRDefault="00CE095A" w:rsidP="002433EC">
      <w:pPr>
        <w:ind w:firstLine="567"/>
        <w:jc w:val="both"/>
      </w:pPr>
      <w:r>
        <w:rPr>
          <w:sz w:val="28"/>
          <w:szCs w:val="28"/>
        </w:rPr>
        <w:tab/>
        <w:t>- померлих самотніх (бездітних та безрідних) громадян;</w:t>
      </w:r>
    </w:p>
    <w:p w:rsidR="00CE095A" w:rsidRDefault="00CE095A" w:rsidP="002433EC">
      <w:pPr>
        <w:ind w:firstLine="567"/>
        <w:jc w:val="both"/>
      </w:pPr>
      <w:r>
        <w:rPr>
          <w:sz w:val="28"/>
          <w:szCs w:val="28"/>
        </w:rPr>
        <w:tab/>
        <w:t>- померлих осіб без певного місця проживання;</w:t>
      </w:r>
    </w:p>
    <w:p w:rsidR="00CE095A" w:rsidRDefault="00CE095A" w:rsidP="002433EC">
      <w:pPr>
        <w:ind w:firstLine="567"/>
        <w:jc w:val="both"/>
      </w:pPr>
      <w:proofErr w:type="spellStart"/>
      <w:r>
        <w:rPr>
          <w:sz w:val="28"/>
          <w:szCs w:val="28"/>
        </w:rPr>
        <w:t>-померлих</w:t>
      </w:r>
      <w:proofErr w:type="spellEnd"/>
      <w:r>
        <w:rPr>
          <w:sz w:val="28"/>
          <w:szCs w:val="28"/>
        </w:rPr>
        <w:t xml:space="preserve"> громадян, від поховання яких відмовилися рідні;</w:t>
      </w:r>
    </w:p>
    <w:p w:rsidR="00CE095A" w:rsidRDefault="00CE095A" w:rsidP="002433EC">
      <w:pPr>
        <w:ind w:firstLine="567"/>
        <w:jc w:val="both"/>
      </w:pPr>
      <w:r>
        <w:rPr>
          <w:sz w:val="28"/>
          <w:szCs w:val="28"/>
        </w:rPr>
        <w:tab/>
        <w:t>- знайдених невпізнаних трупів.</w:t>
      </w:r>
    </w:p>
    <w:p w:rsidR="00CE095A" w:rsidRDefault="00CE095A" w:rsidP="002433EC">
      <w:pPr>
        <w:ind w:firstLine="567"/>
        <w:jc w:val="both"/>
      </w:pPr>
      <w:r>
        <w:rPr>
          <w:sz w:val="28"/>
          <w:szCs w:val="28"/>
        </w:rPr>
        <w:t>1.3.У разі смерті осіб, вказаних у підпункті 1.2 цього Порядку, їх тіла доставляються до моргу місцевого медичного закладу для встановлення причин смерті або зберігання.</w:t>
      </w:r>
    </w:p>
    <w:p w:rsidR="00CE095A" w:rsidRDefault="00CE095A" w:rsidP="002433EC">
      <w:pPr>
        <w:ind w:firstLine="567"/>
        <w:jc w:val="both"/>
      </w:pPr>
      <w:r>
        <w:rPr>
          <w:sz w:val="28"/>
          <w:szCs w:val="28"/>
        </w:rPr>
        <w:tab/>
        <w:t xml:space="preserve">Самотні громадяни, особи без певного місця проживання, громадяни від поховання яких відмовилися рідні, смерть яких настала в лікувальному закладі, підлягають судово-медичній експертизі за постановою правоохоронних органів. </w:t>
      </w:r>
    </w:p>
    <w:p w:rsidR="00CE095A" w:rsidRDefault="00CE095A" w:rsidP="002433EC">
      <w:pPr>
        <w:ind w:firstLine="567"/>
        <w:jc w:val="both"/>
      </w:pPr>
      <w:r>
        <w:rPr>
          <w:sz w:val="28"/>
          <w:szCs w:val="28"/>
        </w:rPr>
        <w:lastRenderedPageBreak/>
        <w:t>1.4. Реєстрація смерті померлих осіб, вказаних у підпункті 1.2 цього Порядку, здійснюється відповідно до Закону України “Про державну реєстрацію актів цивільного стану” та Правил державної реєстрації актів громадянського стану в Україні, затверджених наказом Міністерства юстиції України від 18 жовтня 2000 року № 52/5, зареєстрованим в Міністерстві юстиції України 18 жовтня 2000 року за № 719/4940.</w:t>
      </w:r>
    </w:p>
    <w:p w:rsidR="00CE095A" w:rsidRDefault="00CE095A" w:rsidP="002433EC">
      <w:pPr>
        <w:ind w:firstLine="567"/>
        <w:jc w:val="both"/>
        <w:rPr>
          <w:sz w:val="28"/>
          <w:szCs w:val="28"/>
        </w:rPr>
      </w:pPr>
    </w:p>
    <w:p w:rsidR="00CE095A" w:rsidRDefault="00CE095A" w:rsidP="002433EC">
      <w:pPr>
        <w:ind w:firstLine="567"/>
        <w:jc w:val="center"/>
      </w:pPr>
      <w:r>
        <w:rPr>
          <w:b/>
          <w:bCs/>
          <w:sz w:val="28"/>
          <w:szCs w:val="28"/>
        </w:rPr>
        <w:t>2.Порядок приймання, оформлення замовлення на поховання</w:t>
      </w:r>
    </w:p>
    <w:p w:rsidR="00CE095A" w:rsidRDefault="00CE095A" w:rsidP="002433EC">
      <w:pPr>
        <w:ind w:firstLine="567"/>
        <w:jc w:val="center"/>
      </w:pPr>
      <w:r>
        <w:rPr>
          <w:b/>
          <w:bCs/>
          <w:sz w:val="28"/>
          <w:szCs w:val="28"/>
        </w:rPr>
        <w:t>померлих та надання ритуальних послуг</w:t>
      </w:r>
    </w:p>
    <w:p w:rsidR="00CE095A" w:rsidRDefault="00CE095A" w:rsidP="002433EC">
      <w:pPr>
        <w:ind w:firstLine="567"/>
        <w:jc w:val="both"/>
        <w:rPr>
          <w:b/>
          <w:bCs/>
          <w:sz w:val="28"/>
          <w:szCs w:val="28"/>
        </w:rPr>
      </w:pPr>
    </w:p>
    <w:p w:rsidR="00CE095A" w:rsidRDefault="00CE095A" w:rsidP="002433EC">
      <w:pPr>
        <w:ind w:firstLine="567"/>
        <w:jc w:val="both"/>
      </w:pPr>
      <w:r>
        <w:rPr>
          <w:sz w:val="28"/>
          <w:szCs w:val="28"/>
        </w:rPr>
        <w:t>2.1. Поховання померлих осіб, вказаних у підпункті 1.2 цього Порядку, проводиться ритуальною службою згідно укладеного договору-замовлення на організацію та проведення поховання на підставі:</w:t>
      </w:r>
    </w:p>
    <w:p w:rsidR="00CE095A" w:rsidRDefault="00CE095A" w:rsidP="002433EC">
      <w:pPr>
        <w:ind w:firstLine="567"/>
        <w:jc w:val="both"/>
      </w:pPr>
      <w:r>
        <w:rPr>
          <w:sz w:val="28"/>
          <w:szCs w:val="28"/>
        </w:rPr>
        <w:t>- довідки про смерть, наданою медичним закладом.</w:t>
      </w:r>
    </w:p>
    <w:p w:rsidR="00CE095A" w:rsidRDefault="00CE095A" w:rsidP="002433EC">
      <w:pPr>
        <w:ind w:firstLine="567"/>
        <w:jc w:val="both"/>
      </w:pPr>
      <w:r>
        <w:rPr>
          <w:sz w:val="28"/>
          <w:szCs w:val="28"/>
        </w:rPr>
        <w:t>2.2. На підставі довідки про смерть Заявник звертається до суб’єкту господарювання (ритуальної служби) з приводу укладання відповідного договору-замовлення на організацію та проведення поховання померлих осіб, вказаних у підпункті 1.2 цього Порядку.</w:t>
      </w:r>
    </w:p>
    <w:p w:rsidR="00CE095A" w:rsidRDefault="00CE095A" w:rsidP="002433EC">
      <w:pPr>
        <w:ind w:firstLine="567"/>
        <w:jc w:val="both"/>
      </w:pPr>
      <w:r>
        <w:rPr>
          <w:sz w:val="28"/>
          <w:szCs w:val="28"/>
        </w:rPr>
        <w:tab/>
        <w:t>У разі поховання померлих осіб, вказаних у підпункті 1.2 цього Порядку, ритуальна служба надає послуги згідно необхідного мінімального переліку окремих видів ритуальних послуг.</w:t>
      </w:r>
    </w:p>
    <w:p w:rsidR="00CE095A" w:rsidRDefault="00CE095A" w:rsidP="002433EC">
      <w:pPr>
        <w:ind w:firstLine="567"/>
        <w:jc w:val="both"/>
      </w:pPr>
      <w:r>
        <w:rPr>
          <w:sz w:val="28"/>
          <w:szCs w:val="28"/>
        </w:rPr>
        <w:tab/>
        <w:t>Суб'єкт господарювання зобов'язаний забезпечити приймання та оформлення замовлення, здійснити платну доставку цих предметів своїм транспортом за вказаною Замовником адресою, у разі відсутності транспорту - сприяти доставці атрибутів поховання.</w:t>
      </w:r>
    </w:p>
    <w:p w:rsidR="00CE095A" w:rsidRDefault="00CE095A" w:rsidP="002433EC">
      <w:pPr>
        <w:ind w:firstLine="567"/>
        <w:jc w:val="both"/>
      </w:pPr>
      <w:r>
        <w:rPr>
          <w:sz w:val="28"/>
          <w:szCs w:val="28"/>
        </w:rPr>
        <w:t>Забороняється надання послуг без оформлення договору-замовлення.</w:t>
      </w:r>
    </w:p>
    <w:p w:rsidR="00CE095A" w:rsidRDefault="00CE095A" w:rsidP="002433EC">
      <w:pPr>
        <w:ind w:firstLine="567"/>
        <w:jc w:val="both"/>
      </w:pPr>
      <w:r>
        <w:rPr>
          <w:sz w:val="28"/>
          <w:szCs w:val="28"/>
        </w:rPr>
        <w:t>2.3. У разі виникнення потреби в наданні додаткових ритуальних послугах, непередбачених укладеним договором-замовленням, їх виконання погоджується із Замовником і оформлюється окремим договором-замовленням.</w:t>
      </w:r>
    </w:p>
    <w:p w:rsidR="00CE095A" w:rsidRDefault="00CE095A" w:rsidP="002433EC">
      <w:pPr>
        <w:ind w:firstLine="567"/>
        <w:jc w:val="both"/>
      </w:pPr>
      <w:r>
        <w:rPr>
          <w:sz w:val="28"/>
          <w:szCs w:val="28"/>
        </w:rPr>
        <w:t>2.4. Замовник має право у процесі виконання замовлення внести до нього часткові зміни, які повинні бути прийняті суб'єктом господарювання за умови, що їх виконання технічно і технологічно можливе, та до оформленого договору-замовлення внесено відповідні зміни вартості послуг.</w:t>
      </w:r>
    </w:p>
    <w:p w:rsidR="00CE095A" w:rsidRDefault="00CE095A" w:rsidP="002433EC">
      <w:pPr>
        <w:ind w:firstLine="567"/>
        <w:jc w:val="both"/>
      </w:pPr>
      <w:r>
        <w:rPr>
          <w:sz w:val="28"/>
          <w:szCs w:val="28"/>
        </w:rPr>
        <w:t>2.5. У разі надання неякісних ритуальних послуг із поховання та ритуального обслуговування, тобто таких, що не відповідають умовам договору-замовлення, Замовник має право вимагати від суб'єкта господарювання безоплатного надання послуги належної якості або відшкодування завданих збитків.</w:t>
      </w:r>
    </w:p>
    <w:p w:rsidR="00CE095A" w:rsidRDefault="00CE095A" w:rsidP="002433EC">
      <w:pPr>
        <w:ind w:firstLine="567"/>
        <w:jc w:val="both"/>
      </w:pPr>
      <w:r>
        <w:rPr>
          <w:sz w:val="28"/>
          <w:szCs w:val="28"/>
        </w:rPr>
        <w:t>2.6. У разі придбання неякісних товарів ритуальної належності тобто таких, що неможливо використовувати відповідно до його цільового призначення, замовник має право вимагати від продавця (виробника предметів ритуальної належності):</w:t>
      </w:r>
    </w:p>
    <w:p w:rsidR="00CE095A" w:rsidRDefault="00CE095A" w:rsidP="002433EC">
      <w:pPr>
        <w:ind w:firstLine="567"/>
        <w:jc w:val="both"/>
      </w:pPr>
      <w:r>
        <w:rPr>
          <w:sz w:val="28"/>
          <w:szCs w:val="28"/>
        </w:rPr>
        <w:tab/>
        <w:t>- безоплатного усунення недоліків товару;</w:t>
      </w:r>
    </w:p>
    <w:p w:rsidR="00CE095A" w:rsidRDefault="00CE095A" w:rsidP="002433EC">
      <w:pPr>
        <w:ind w:firstLine="567"/>
        <w:jc w:val="both"/>
      </w:pPr>
      <w:r>
        <w:rPr>
          <w:sz w:val="28"/>
          <w:szCs w:val="28"/>
        </w:rPr>
        <w:tab/>
        <w:t>- відшкодування зазначених збитків;</w:t>
      </w:r>
    </w:p>
    <w:p w:rsidR="00CE095A" w:rsidRDefault="00CE095A" w:rsidP="002433EC">
      <w:pPr>
        <w:ind w:firstLine="567"/>
        <w:jc w:val="both"/>
      </w:pPr>
      <w:r>
        <w:rPr>
          <w:sz w:val="28"/>
          <w:szCs w:val="28"/>
        </w:rPr>
        <w:lastRenderedPageBreak/>
        <w:tab/>
        <w:t>- заміни на аналогічний товар належної якості (якщо ціна на товар змінилася, перерахунок вартості не проводиться) або на такий самий товар іншої марки (моделі, артикулу, модифікації) з відповідним перерахуванням купівельної ціни, що діяла на момент обміну;</w:t>
      </w:r>
    </w:p>
    <w:p w:rsidR="00CE095A" w:rsidRDefault="00CE095A" w:rsidP="002433EC">
      <w:pPr>
        <w:ind w:firstLine="567"/>
        <w:jc w:val="both"/>
      </w:pPr>
      <w:r>
        <w:rPr>
          <w:sz w:val="28"/>
          <w:szCs w:val="28"/>
        </w:rPr>
        <w:tab/>
        <w:t>- відповідного зменшення купівельної ціни зазначених товарів.</w:t>
      </w:r>
    </w:p>
    <w:p w:rsidR="00CE095A" w:rsidRDefault="00CE095A" w:rsidP="002433EC">
      <w:pPr>
        <w:ind w:firstLine="567"/>
        <w:jc w:val="both"/>
        <w:rPr>
          <w:sz w:val="28"/>
          <w:szCs w:val="28"/>
        </w:rPr>
      </w:pPr>
    </w:p>
    <w:p w:rsidR="00CE095A" w:rsidRDefault="00CE095A" w:rsidP="002433EC">
      <w:pPr>
        <w:ind w:firstLine="567"/>
        <w:jc w:val="center"/>
      </w:pPr>
      <w:r>
        <w:rPr>
          <w:b/>
          <w:bCs/>
          <w:sz w:val="28"/>
          <w:szCs w:val="28"/>
        </w:rPr>
        <w:t>3. Вимоги щодо порядку організації та проведення поховання</w:t>
      </w:r>
    </w:p>
    <w:p w:rsidR="00CE095A" w:rsidRDefault="00CE095A" w:rsidP="002433EC">
      <w:pPr>
        <w:ind w:firstLine="567"/>
        <w:jc w:val="center"/>
        <w:rPr>
          <w:b/>
          <w:bCs/>
          <w:sz w:val="28"/>
          <w:szCs w:val="28"/>
        </w:rPr>
      </w:pPr>
    </w:p>
    <w:p w:rsidR="00CE095A" w:rsidRDefault="00CE095A" w:rsidP="002433EC">
      <w:pPr>
        <w:ind w:firstLine="567"/>
        <w:jc w:val="both"/>
      </w:pPr>
      <w:r>
        <w:rPr>
          <w:sz w:val="28"/>
          <w:szCs w:val="28"/>
        </w:rPr>
        <w:t>3.1. Поховання померлих здійснюється лише на підставі довідки про смерть, наданою медичним закладом та оформленого в установленому порядку договору-замовлення на організацію та проведення поховання.</w:t>
      </w:r>
    </w:p>
    <w:p w:rsidR="00CE095A" w:rsidRDefault="00CE095A" w:rsidP="002433EC">
      <w:pPr>
        <w:ind w:firstLine="567"/>
        <w:jc w:val="both"/>
      </w:pPr>
      <w:r>
        <w:rPr>
          <w:sz w:val="28"/>
          <w:szCs w:val="28"/>
        </w:rPr>
        <w:t>3.2. Для поховання померлих самотніх громадян, осіб без певного місця проживання, невпізнаних трупів на кладовищах надається земельна ділянка під одинарне поховання. Поховання зазначених осіб здійснюється суб’єктом господарювання за рахунок коштів місцевого бюджету.</w:t>
      </w:r>
    </w:p>
    <w:p w:rsidR="00CE095A" w:rsidRDefault="00CE095A" w:rsidP="002433EC">
      <w:pPr>
        <w:ind w:firstLine="567"/>
        <w:jc w:val="both"/>
      </w:pPr>
      <w:r>
        <w:rPr>
          <w:sz w:val="28"/>
          <w:szCs w:val="28"/>
        </w:rPr>
        <w:t>3.3. Поховання осіб, які померли внаслідок зараження особливо небезпечною інфекцією, здійснюється згідно із санітарним законодавством України.</w:t>
      </w:r>
    </w:p>
    <w:p w:rsidR="00CE095A" w:rsidRDefault="00CE095A" w:rsidP="002433EC">
      <w:pPr>
        <w:ind w:firstLine="567"/>
        <w:jc w:val="both"/>
      </w:pPr>
      <w:r>
        <w:rPr>
          <w:sz w:val="28"/>
          <w:szCs w:val="28"/>
        </w:rPr>
        <w:t xml:space="preserve">3.4. Поховання померлих іноземців та осіб без громадянства здійснюється в порядку, визначеному Законом України </w:t>
      </w:r>
      <w:proofErr w:type="spellStart"/>
      <w:r>
        <w:rPr>
          <w:sz w:val="28"/>
          <w:szCs w:val="28"/>
        </w:rPr>
        <w:t>„Про</w:t>
      </w:r>
      <w:proofErr w:type="spellEnd"/>
      <w:r>
        <w:rPr>
          <w:sz w:val="28"/>
          <w:szCs w:val="28"/>
        </w:rPr>
        <w:t xml:space="preserve"> поховання та похоронну </w:t>
      </w:r>
      <w:proofErr w:type="spellStart"/>
      <w:r>
        <w:rPr>
          <w:sz w:val="28"/>
          <w:szCs w:val="28"/>
        </w:rPr>
        <w:t>справу„</w:t>
      </w:r>
      <w:proofErr w:type="spellEnd"/>
      <w:r>
        <w:rPr>
          <w:sz w:val="28"/>
          <w:szCs w:val="28"/>
        </w:rPr>
        <w:t xml:space="preserve"> та цим Положенням для громадян України, якщо інше не передбачено міжнародним договором України.</w:t>
      </w:r>
    </w:p>
    <w:p w:rsidR="00CE095A" w:rsidRDefault="00CE095A" w:rsidP="002433EC">
      <w:pPr>
        <w:ind w:firstLine="567"/>
        <w:jc w:val="both"/>
        <w:rPr>
          <w:sz w:val="28"/>
          <w:szCs w:val="28"/>
        </w:rPr>
      </w:pPr>
    </w:p>
    <w:p w:rsidR="00CE095A" w:rsidRDefault="00CE095A" w:rsidP="002433EC">
      <w:pPr>
        <w:ind w:firstLine="567"/>
        <w:jc w:val="center"/>
      </w:pPr>
      <w:r>
        <w:rPr>
          <w:b/>
          <w:bCs/>
          <w:sz w:val="28"/>
          <w:szCs w:val="28"/>
        </w:rPr>
        <w:t>4. Контроль</w:t>
      </w:r>
    </w:p>
    <w:p w:rsidR="00CE095A" w:rsidRDefault="00CE095A" w:rsidP="002433EC">
      <w:pPr>
        <w:ind w:firstLine="567"/>
        <w:jc w:val="both"/>
        <w:rPr>
          <w:b/>
          <w:bCs/>
          <w:sz w:val="28"/>
          <w:szCs w:val="28"/>
        </w:rPr>
      </w:pPr>
    </w:p>
    <w:p w:rsidR="00CE095A" w:rsidRDefault="00CE095A" w:rsidP="002433EC">
      <w:pPr>
        <w:ind w:firstLine="567"/>
        <w:jc w:val="both"/>
      </w:pPr>
      <w:bookmarkStart w:id="0" w:name="_GoBack"/>
      <w:bookmarkEnd w:id="0"/>
      <w:r>
        <w:rPr>
          <w:sz w:val="28"/>
          <w:szCs w:val="28"/>
        </w:rPr>
        <w:t>4.1. Контроль за дотриманням Положення про порядок надання ритуальних послуг на території Решетилівської міської ради здійснює виконавчий комітет міської ради.</w:t>
      </w:r>
    </w:p>
    <w:p w:rsidR="00CE095A" w:rsidRDefault="00CE095A" w:rsidP="002433EC">
      <w:pPr>
        <w:ind w:firstLine="567"/>
        <w:jc w:val="both"/>
        <w:rPr>
          <w:sz w:val="28"/>
          <w:szCs w:val="28"/>
        </w:rPr>
      </w:pPr>
    </w:p>
    <w:p w:rsidR="00CE095A" w:rsidRDefault="00CE095A" w:rsidP="00CE095A">
      <w:pPr>
        <w:ind w:firstLine="700"/>
        <w:jc w:val="both"/>
        <w:rPr>
          <w:sz w:val="28"/>
          <w:szCs w:val="28"/>
        </w:rPr>
      </w:pPr>
    </w:p>
    <w:p w:rsidR="00CE095A" w:rsidRDefault="00CE095A" w:rsidP="00CE095A">
      <w:pPr>
        <w:ind w:firstLine="700"/>
        <w:jc w:val="both"/>
        <w:rPr>
          <w:sz w:val="28"/>
          <w:szCs w:val="28"/>
        </w:rPr>
      </w:pPr>
    </w:p>
    <w:p w:rsidR="00CE095A" w:rsidRDefault="00CE095A" w:rsidP="00CE095A">
      <w:pPr>
        <w:ind w:firstLine="700"/>
        <w:jc w:val="both"/>
        <w:rPr>
          <w:sz w:val="28"/>
          <w:szCs w:val="28"/>
        </w:rPr>
      </w:pPr>
    </w:p>
    <w:p w:rsidR="00CE095A" w:rsidRDefault="00CE095A" w:rsidP="00CE095A">
      <w:pPr>
        <w:ind w:firstLine="700"/>
        <w:jc w:val="both"/>
        <w:rPr>
          <w:sz w:val="28"/>
          <w:szCs w:val="28"/>
        </w:rPr>
      </w:pPr>
    </w:p>
    <w:p w:rsidR="00CE095A" w:rsidRDefault="00CE095A" w:rsidP="00CE095A">
      <w:pPr>
        <w:jc w:val="both"/>
      </w:pPr>
      <w:r>
        <w:rPr>
          <w:sz w:val="28"/>
          <w:szCs w:val="28"/>
        </w:rPr>
        <w:t xml:space="preserve">Начальник відділу сім’ї, соціального </w:t>
      </w:r>
    </w:p>
    <w:p w:rsidR="00CE095A" w:rsidRDefault="00CE095A" w:rsidP="00CE095A">
      <w:pPr>
        <w:jc w:val="both"/>
      </w:pPr>
      <w:r>
        <w:rPr>
          <w:sz w:val="28"/>
          <w:szCs w:val="28"/>
        </w:rPr>
        <w:t>захисту та охорони здоров’я                                                  Дмитро МОМОТ</w:t>
      </w:r>
    </w:p>
    <w:p w:rsidR="00CE095A" w:rsidRDefault="00CE095A" w:rsidP="00CE095A"/>
    <w:p w:rsidR="00AD54F1" w:rsidRDefault="00AD54F1"/>
    <w:sectPr w:rsidR="00AD54F1" w:rsidSect="002433E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626"/>
    <w:rsid w:val="002433EC"/>
    <w:rsid w:val="003D6626"/>
    <w:rsid w:val="00AD54F1"/>
    <w:rsid w:val="00CE0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95A"/>
    <w:pPr>
      <w:suppressAutoHyphens/>
      <w:autoSpaceDE w:val="0"/>
      <w:spacing w:after="0" w:line="240" w:lineRule="auto"/>
    </w:pPr>
    <w:rPr>
      <w:rFonts w:ascii="Times New Roman" w:eastAsia="Times New Roman" w:hAnsi="Times New Roman" w:cs="Liberation Serif"/>
      <w:kern w:val="2"/>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CE095A"/>
    <w:pPr>
      <w:suppressLineNumbers/>
      <w:autoSpaceDE/>
    </w:pPr>
    <w:rPr>
      <w:rFonts w:eastAsia="Arial Unicode MS" w:cs="Arial Unicode MS"/>
      <w:color w:val="00000A"/>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95A"/>
    <w:pPr>
      <w:suppressAutoHyphens/>
      <w:autoSpaceDE w:val="0"/>
      <w:spacing w:after="0" w:line="240" w:lineRule="auto"/>
    </w:pPr>
    <w:rPr>
      <w:rFonts w:ascii="Times New Roman" w:eastAsia="Times New Roman" w:hAnsi="Times New Roman" w:cs="Liberation Serif"/>
      <w:kern w:val="2"/>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CE095A"/>
    <w:pPr>
      <w:suppressLineNumbers/>
      <w:autoSpaceDE/>
    </w:pPr>
    <w:rPr>
      <w:rFonts w:eastAsia="Arial Unicode MS" w:cs="Arial Unicode MS"/>
      <w:color w:val="00000A"/>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977</Words>
  <Characters>5575</Characters>
  <Application>Microsoft Office Word</Application>
  <DocSecurity>0</DocSecurity>
  <Lines>46</Lines>
  <Paragraphs>13</Paragraphs>
  <ScaleCrop>false</ScaleCrop>
  <Company/>
  <LinksUpToDate>false</LinksUpToDate>
  <CharactersWithSpaces>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miskrada1@outlook.com</dc:creator>
  <cp:keywords/>
  <dc:description/>
  <cp:lastModifiedBy>PC_USER_4</cp:lastModifiedBy>
  <cp:revision>3</cp:revision>
  <dcterms:created xsi:type="dcterms:W3CDTF">2023-12-07T14:43:00Z</dcterms:created>
  <dcterms:modified xsi:type="dcterms:W3CDTF">2023-12-21T11:03:00Z</dcterms:modified>
</cp:coreProperties>
</file>