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rPr>
          <w:b/>
          <w:b/>
          <w:sz w:val="12"/>
          <w:szCs w:val="12"/>
        </w:rPr>
      </w:pPr>
      <w:r>
        <w:rPr>
          <w:b/>
          <w:sz w:val="12"/>
          <w:szCs w:val="12"/>
        </w:rPr>
        <w:drawing>
          <wp:anchor behindDoc="0" distT="0" distB="0" distL="18415" distR="2540" simplePos="0" locked="0" layoutInCell="1" allowOverlap="1" relativeHeight="2">
            <wp:simplePos x="0" y="0"/>
            <wp:positionH relativeFrom="column">
              <wp:posOffset>2792730</wp:posOffset>
            </wp:positionH>
            <wp:positionV relativeFrom="paragraph">
              <wp:posOffset>-459105</wp:posOffset>
            </wp:positionV>
            <wp:extent cx="435610" cy="61214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5610" cy="612140"/>
                    </a:xfrm>
                    <a:prstGeom prst="rect">
                      <a:avLst/>
                    </a:prstGeom>
                  </pic:spPr>
                </pic:pic>
              </a:graphicData>
            </a:graphic>
          </wp:anchor>
        </w:drawing>
      </w:r>
    </w:p>
    <w:p>
      <w:pPr>
        <w:pStyle w:val="Normal"/>
        <w:jc w:val="center"/>
        <w:rPr>
          <w:lang w:val="ru-RU"/>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(сімнадцята сесія восьмого скликання)</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rPr>
          <w:bCs/>
          <w:sz w:val="28"/>
          <w:szCs w:val="28"/>
        </w:rPr>
      </w:pPr>
      <w:r>
        <w:rPr>
          <w:bCs/>
          <w:sz w:val="28"/>
          <w:szCs w:val="28"/>
        </w:rPr>
        <w:t xml:space="preserve">      </w:t>
      </w:r>
    </w:p>
    <w:p>
      <w:pPr>
        <w:pStyle w:val="Normal"/>
        <w:rPr/>
      </w:pPr>
      <w:r>
        <w:rPr>
          <w:bCs/>
          <w:sz w:val="28"/>
          <w:szCs w:val="28"/>
        </w:rPr>
        <w:t>24 грудня  2021 року                                                                           № 913-17-</w:t>
      </w:r>
      <w:r>
        <w:rPr>
          <w:sz w:val="28"/>
          <w:szCs w:val="28"/>
          <w:lang w:val="en-US"/>
        </w:rPr>
        <w:t>VIII</w:t>
      </w:r>
    </w:p>
    <w:p>
      <w:pPr>
        <w:pStyle w:val="Normal"/>
        <w:rPr>
          <w:bCs/>
          <w:sz w:val="28"/>
          <w:szCs w:val="28"/>
        </w:rPr>
      </w:pPr>
      <w:r>
        <w:rPr>
          <w:bCs/>
          <w:sz w:val="28"/>
          <w:szCs w:val="28"/>
        </w:rPr>
      </w:r>
    </w:p>
    <w:p>
      <w:pPr>
        <w:pStyle w:val="Normal"/>
        <w:jc w:val="both"/>
        <w:rPr/>
      </w:pPr>
      <w:r>
        <w:rPr>
          <w:sz w:val="28"/>
          <w:szCs w:val="28"/>
        </w:rPr>
        <w:t>Про затвердження Програми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rPr>
          <w:sz w:val="28"/>
          <w:szCs w:val="28"/>
        </w:rPr>
      </w:pPr>
      <w:r>
        <w:rPr>
          <w:sz w:val="28"/>
          <w:szCs w:val="28"/>
        </w:rPr>
      </w:r>
    </w:p>
    <w:p>
      <w:pPr>
        <w:pStyle w:val="Normal"/>
        <w:rPr>
          <w:sz w:val="28"/>
          <w:szCs w:val="28"/>
        </w:rPr>
      </w:pPr>
      <w:r>
        <w:rPr>
          <w:sz w:val="28"/>
          <w:szCs w:val="28"/>
        </w:rPr>
      </w:r>
    </w:p>
    <w:p>
      <w:pPr>
        <w:pStyle w:val="Normal"/>
        <w:jc w:val="both"/>
        <w:rPr/>
      </w:pPr>
      <w:r>
        <w:rPr>
          <w:sz w:val="28"/>
          <w:szCs w:val="28"/>
        </w:rPr>
        <w:tab/>
        <w:t>Керуючись Законом України ,,Про охорону навколишнього природного середовища”, постановою Кабінетів Міністрів України № 1147 від 17.09.1996 року ,,Про затвердження переліку видів діяльності, що належать до природоохоронних заходів” та розглянувши  Програму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 Решетилівська міська рада</w:t>
      </w:r>
    </w:p>
    <w:p>
      <w:pPr>
        <w:pStyle w:val="Normal"/>
        <w:rPr/>
      </w:pPr>
      <w:r>
        <w:rPr>
          <w:b/>
          <w:sz w:val="28"/>
          <w:szCs w:val="28"/>
        </w:rPr>
        <w:t>ВИРІШИЛА:</w:t>
      </w:r>
    </w:p>
    <w:p>
      <w:pPr>
        <w:pStyle w:val="Normal"/>
        <w:rPr>
          <w:sz w:val="28"/>
          <w:szCs w:val="28"/>
        </w:rPr>
      </w:pPr>
      <w:r>
        <w:rPr>
          <w:sz w:val="28"/>
          <w:szCs w:val="28"/>
        </w:rPr>
      </w:r>
    </w:p>
    <w:p>
      <w:pPr>
        <w:pStyle w:val="Normal"/>
        <w:shd w:val="clear" w:color="auto" w:fill="FFFFFF"/>
        <w:jc w:val="both"/>
        <w:rPr/>
      </w:pPr>
      <w:r>
        <w:rPr>
          <w:sz w:val="28"/>
          <w:szCs w:val="28"/>
        </w:rPr>
        <w:tab/>
        <w:t xml:space="preserve">1. Затвердити Програму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 </w:t>
      </w:r>
      <w:r>
        <w:rPr>
          <w:color w:val="000000"/>
          <w:sz w:val="28"/>
          <w:szCs w:val="28"/>
          <w:lang w:eastAsia="uk-UA"/>
        </w:rPr>
        <w:t>(далі - Програма) згідно додатку.</w:t>
      </w:r>
    </w:p>
    <w:p>
      <w:pPr>
        <w:pStyle w:val="Normal"/>
        <w:ind w:firstLine="708"/>
        <w:jc w:val="both"/>
        <w:rPr>
          <w:sz w:val="28"/>
          <w:szCs w:val="28"/>
        </w:rPr>
      </w:pPr>
      <w:r>
        <w:rPr>
          <w:sz w:val="28"/>
          <w:szCs w:val="28"/>
        </w:rPr>
        <w:t>2. Виконавчому комітету ради забезпечити організацію  виконання  Програми.</w:t>
        <w:tab/>
      </w:r>
    </w:p>
    <w:p>
      <w:pPr>
        <w:pStyle w:val="Standard"/>
        <w:shd w:val="clear" w:color="auto" w:fill="FFFFFF"/>
        <w:jc w:val="both"/>
        <w:rPr>
          <w:sz w:val="28"/>
          <w:szCs w:val="28"/>
        </w:rPr>
      </w:pPr>
      <w:r>
        <w:rPr>
          <w:rFonts w:ascii="Times New Roman" w:hAnsi="Times New Roman"/>
          <w:sz w:val="28"/>
          <w:szCs w:val="28"/>
        </w:rPr>
        <w:t xml:space="preserve">          </w:t>
      </w:r>
      <w:r>
        <w:rPr>
          <w:rFonts w:ascii="Times New Roman" w:hAnsi="Times New Roman"/>
          <w:sz w:val="28"/>
          <w:szCs w:val="28"/>
        </w:rPr>
        <w:t xml:space="preserve">3. Контроль за виконанням даного рішення покласти на </w:t>
      </w:r>
      <w:r>
        <w:rPr>
          <w:rFonts w:eastAsia="Calibri" w:cs="Times New Roman" w:ascii="Times New Roman" w:hAnsi="Times New Roman"/>
          <w:bCs/>
          <w:color w:val="000000"/>
          <w:sz w:val="28"/>
          <w:szCs w:val="28"/>
          <w:shd w:fill="FFFFFF" w:val="clear"/>
          <w:lang w:eastAsia="ru-RU" w:bidi="ar-SA"/>
        </w:rPr>
        <w:t>постійну комісію з питань земельних відносин, екології, житлово-комунального господарства, архітектури, інфраструктури, комунальної власності та приватизації</w:t>
      </w:r>
      <w:r>
        <w:rPr>
          <w:rFonts w:ascii="Times New Roman" w:hAnsi="Times New Roman"/>
          <w:sz w:val="28"/>
          <w:szCs w:val="28"/>
        </w:rPr>
        <w:t xml:space="preserve"> (Захарченко В.Г.)</w:t>
      </w:r>
    </w:p>
    <w:p>
      <w:pPr>
        <w:pStyle w:val="Normal"/>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tab/>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Міський голова</w:t>
        <w:tab/>
        <w:tab/>
        <w:tab/>
        <w:tab/>
        <w:tab/>
        <w:tab/>
        <w:tab/>
        <w:t xml:space="preserve">               О.А. Дядюнова</w:t>
      </w:r>
    </w:p>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r>
    </w:p>
    <w:p>
      <w:pPr>
        <w:pStyle w:val="Normal"/>
        <w:jc w:val="center"/>
        <w:rPr/>
      </w:pPr>
      <w:r>
        <w:rPr/>
      </w:r>
    </w:p>
    <w:p>
      <w:pPr>
        <w:pStyle w:val="Normal"/>
        <w:jc w:val="center"/>
        <w:rPr/>
      </w:pPr>
      <w:r>
        <w:rPr/>
      </w:r>
    </w:p>
    <w:p>
      <w:pPr>
        <w:pStyle w:val="Normal"/>
        <w:ind w:left="5245" w:hanging="0"/>
        <w:rPr>
          <w:sz w:val="28"/>
          <w:szCs w:val="28"/>
        </w:rPr>
      </w:pPr>
      <w:r>
        <w:rPr>
          <w:sz w:val="28"/>
          <w:szCs w:val="28"/>
        </w:rPr>
      </w:r>
    </w:p>
    <w:p>
      <w:pPr>
        <w:pStyle w:val="Normal"/>
        <w:ind w:left="5245" w:hanging="0"/>
        <w:rPr/>
      </w:pPr>
      <w:r>
        <w:rPr>
          <w:sz w:val="28"/>
          <w:szCs w:val="28"/>
        </w:rPr>
        <w:t>ЗАТВЕРДЖЕНО</w:t>
      </w:r>
    </w:p>
    <w:p>
      <w:pPr>
        <w:pStyle w:val="Normal"/>
        <w:ind w:left="5245" w:hanging="0"/>
        <w:rPr/>
      </w:pPr>
      <w:r>
        <w:rPr>
          <w:sz w:val="28"/>
          <w:szCs w:val="28"/>
        </w:rPr>
        <w:t>рішення Решетилівської міської ради восьмого скликання</w:t>
      </w:r>
    </w:p>
    <w:p>
      <w:pPr>
        <w:pStyle w:val="Normal"/>
        <w:ind w:left="5245" w:hanging="0"/>
        <w:rPr/>
      </w:pPr>
      <w:r>
        <w:rPr>
          <w:sz w:val="28"/>
          <w:szCs w:val="28"/>
        </w:rPr>
        <w:t>24 грудня 2021 року № 913-17-</w:t>
      </w:r>
      <w:r>
        <w:rPr>
          <w:sz w:val="28"/>
          <w:szCs w:val="28"/>
          <w:lang w:val="en-US"/>
        </w:rPr>
        <w:t>VIII</w:t>
      </w:r>
    </w:p>
    <w:p>
      <w:pPr>
        <w:pStyle w:val="Style22"/>
        <w:ind w:left="4248" w:hanging="0"/>
        <w:jc w:val="left"/>
        <w:rPr>
          <w:lang w:val="ru-RU"/>
        </w:rPr>
      </w:pPr>
      <w:r>
        <w:rPr>
          <w:lang w:val="uk-UA"/>
        </w:rPr>
        <w:tab/>
        <w:t xml:space="preserve">    </w:t>
      </w:r>
      <w:r>
        <w:rPr>
          <w:sz w:val="28"/>
          <w:szCs w:val="28"/>
          <w:lang w:val="uk-UA"/>
        </w:rPr>
        <w:t xml:space="preserve"> (17 сесія)</w:t>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ind w:left="360" w:firstLine="348"/>
        <w:rPr>
          <w:color w:val="000000"/>
          <w:sz w:val="28"/>
          <w:szCs w:val="28"/>
        </w:rPr>
      </w:pPr>
      <w:r>
        <w:rPr>
          <w:color w:val="000000"/>
          <w:sz w:val="28"/>
          <w:szCs w:val="28"/>
        </w:rPr>
      </w:r>
    </w:p>
    <w:p>
      <w:pPr>
        <w:pStyle w:val="Normal"/>
        <w:jc w:val="center"/>
        <w:rPr>
          <w:color w:val="000000"/>
          <w:sz w:val="32"/>
          <w:szCs w:val="32"/>
        </w:rPr>
      </w:pPr>
      <w:r>
        <w:rPr>
          <w:b/>
          <w:bCs/>
          <w:color w:val="000000"/>
          <w:sz w:val="32"/>
          <w:szCs w:val="32"/>
        </w:rPr>
        <w:t xml:space="preserve">ПРОГРАМА </w:t>
      </w:r>
    </w:p>
    <w:p>
      <w:pPr>
        <w:pStyle w:val="Normal"/>
        <w:jc w:val="center"/>
        <w:rPr/>
      </w:pPr>
      <w:r>
        <w:rPr>
          <w:b/>
          <w:sz w:val="28"/>
          <w:szCs w:val="28"/>
        </w:rPr>
        <w:t>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3585" w:leader="none"/>
        </w:tabs>
        <w:rPr>
          <w:b/>
          <w:b/>
          <w:sz w:val="28"/>
          <w:szCs w:val="28"/>
        </w:rPr>
      </w:pPr>
      <w:r>
        <w:rPr/>
        <w:t xml:space="preserve">                                                              </w:t>
      </w:r>
      <w:r>
        <w:rPr>
          <w:b/>
          <w:sz w:val="28"/>
          <w:szCs w:val="28"/>
        </w:rPr>
        <w:t>м. Решетилівка</w:t>
      </w:r>
    </w:p>
    <w:p>
      <w:pPr>
        <w:pStyle w:val="Normal"/>
        <w:tabs>
          <w:tab w:val="clear" w:pos="708"/>
          <w:tab w:val="left" w:pos="3585" w:leader="none"/>
        </w:tabs>
        <w:jc w:val="center"/>
        <w:rPr>
          <w:b/>
          <w:b/>
          <w:sz w:val="28"/>
          <w:szCs w:val="28"/>
        </w:rPr>
      </w:pPr>
      <w:r>
        <w:rPr>
          <w:b/>
          <w:sz w:val="28"/>
          <w:szCs w:val="28"/>
        </w:rPr>
        <w:t>2021 рік</w:t>
      </w:r>
    </w:p>
    <w:p>
      <w:pPr>
        <w:pStyle w:val="Normal"/>
        <w:tabs>
          <w:tab w:val="clear" w:pos="708"/>
          <w:tab w:val="left" w:pos="3585" w:leader="none"/>
        </w:tabs>
        <w:jc w:val="center"/>
        <w:rPr>
          <w:b/>
          <w:b/>
          <w:sz w:val="28"/>
          <w:szCs w:val="28"/>
        </w:rPr>
      </w:pPr>
      <w:r>
        <w:rPr>
          <w:b/>
          <w:color w:val="000000"/>
          <w:sz w:val="28"/>
          <w:szCs w:val="28"/>
          <w:lang w:eastAsia="uk-UA"/>
        </w:rPr>
        <w:t>1. Паспорт програми</w:t>
      </w:r>
    </w:p>
    <w:tbl>
      <w:tblPr>
        <w:tblW w:w="9718" w:type="dxa"/>
        <w:jc w:val="left"/>
        <w:tblInd w:w="-113" w:type="dxa"/>
        <w:tblCellMar>
          <w:top w:w="0" w:type="dxa"/>
          <w:left w:w="103" w:type="dxa"/>
          <w:bottom w:w="0" w:type="dxa"/>
          <w:right w:w="108" w:type="dxa"/>
        </w:tblCellMar>
        <w:tblLook w:firstRow="1" w:noVBand="0" w:lastRow="1" w:firstColumn="1" w:lastColumn="1" w:noHBand="0" w:val="01e0"/>
      </w:tblPr>
      <w:tblGrid>
        <w:gridCol w:w="654"/>
        <w:gridCol w:w="3738"/>
        <w:gridCol w:w="5326"/>
      </w:tblGrid>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eastAsia="Calibri"/>
                <w:sz w:val="28"/>
                <w:szCs w:val="28"/>
                <w:lang w:val="ru-RU" w:eastAsia="en-US"/>
              </w:rPr>
            </w:pPr>
            <w:r>
              <w:rPr>
                <w:rFonts w:eastAsia="Calibri"/>
                <w:sz w:val="28"/>
                <w:szCs w:val="28"/>
                <w:lang w:val="ru-RU" w:eastAsia="en-US"/>
              </w:rPr>
              <w:t>1</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Ініціатор розроблення програми</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lang w:val="ru-RU" w:eastAsia="en-US"/>
              </w:rPr>
            </w:pPr>
            <w:r>
              <w:rPr>
                <w:rFonts w:eastAsia="Calibri"/>
                <w:sz w:val="28"/>
                <w:szCs w:val="28"/>
                <w:lang w:val="ru-RU" w:eastAsia="en-US"/>
              </w:rPr>
              <w:t>Виконавчий комітет Решетилівської міської ради</w:t>
            </w:r>
          </w:p>
        </w:tc>
      </w:tr>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lang w:val="en-US"/>
              </w:rPr>
            </w:pPr>
            <w:r>
              <w:rPr>
                <w:rFonts w:eastAsia="Calibri"/>
                <w:sz w:val="28"/>
                <w:szCs w:val="28"/>
                <w:lang w:val="en-US" w:eastAsia="en-US"/>
              </w:rPr>
              <w:t>2</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Розробник програми</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lang w:val="ru-RU" w:eastAsia="en-US"/>
              </w:rPr>
            </w:pPr>
            <w:r>
              <w:rPr>
                <w:rFonts w:eastAsia="Calibri"/>
                <w:sz w:val="28"/>
                <w:szCs w:val="28"/>
                <w:lang w:val="ru-RU" w:eastAsia="en-US"/>
              </w:rPr>
              <w:t>Відділ земельних ресурсів та охорони навколишнього середовища виконавчого комітету Решетилівської міської ради</w:t>
            </w:r>
          </w:p>
        </w:tc>
      </w:tr>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lang w:val="en-US"/>
              </w:rPr>
            </w:pPr>
            <w:r>
              <w:rPr>
                <w:rFonts w:eastAsia="Calibri"/>
                <w:sz w:val="28"/>
                <w:szCs w:val="28"/>
                <w:lang w:val="en-US" w:eastAsia="en-US"/>
              </w:rPr>
              <w:t>3</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 xml:space="preserve">Виконавець програми </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lang w:val="ru-RU" w:eastAsia="en-US"/>
              </w:rPr>
            </w:pPr>
            <w:r>
              <w:rPr>
                <w:rFonts w:eastAsia="Calibri"/>
                <w:sz w:val="28"/>
                <w:szCs w:val="28"/>
                <w:lang w:val="ru-RU" w:eastAsia="en-US"/>
              </w:rPr>
              <w:t>Виконавчий комітет Решетилівської міської ради</w:t>
            </w:r>
          </w:p>
        </w:tc>
      </w:tr>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lang w:val="en-US"/>
              </w:rPr>
            </w:pPr>
            <w:r>
              <w:rPr>
                <w:rFonts w:eastAsia="Calibri"/>
                <w:sz w:val="28"/>
                <w:szCs w:val="28"/>
                <w:lang w:val="en-US" w:eastAsia="en-US"/>
              </w:rPr>
              <w:t>4</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Термін реалізації програми</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lang w:val="ru-RU" w:eastAsia="en-US"/>
              </w:rPr>
            </w:pPr>
            <w:r>
              <w:rPr>
                <w:rFonts w:eastAsia="Calibri"/>
                <w:sz w:val="28"/>
                <w:szCs w:val="28"/>
                <w:lang w:val="ru-RU" w:eastAsia="en-US"/>
              </w:rPr>
              <w:t>2022 – 2025 роки</w:t>
            </w:r>
          </w:p>
        </w:tc>
      </w:tr>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lang w:val="en-US"/>
              </w:rPr>
            </w:pPr>
            <w:r>
              <w:rPr>
                <w:rFonts w:eastAsia="Calibri"/>
                <w:sz w:val="28"/>
                <w:szCs w:val="28"/>
                <w:lang w:val="en-US" w:eastAsia="en-US"/>
              </w:rPr>
              <w:t>5</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Бюджети, з яких залучаються кошти на виконання програми</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lang w:val="ru-RU" w:eastAsia="en-US"/>
              </w:rPr>
            </w:pPr>
            <w:r>
              <w:rPr>
                <w:rFonts w:eastAsia="Calibri"/>
                <w:sz w:val="28"/>
                <w:szCs w:val="28"/>
                <w:lang w:val="ru-RU" w:eastAsia="en-US"/>
              </w:rPr>
              <w:t xml:space="preserve">Державний, міський бюджет </w:t>
            </w:r>
          </w:p>
        </w:tc>
      </w:tr>
      <w:tr>
        <w:trPr/>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lang w:val="en-US"/>
              </w:rPr>
            </w:pPr>
            <w:r>
              <w:rPr>
                <w:rFonts w:eastAsia="Calibri"/>
                <w:sz w:val="28"/>
                <w:szCs w:val="28"/>
                <w:lang w:val="en-US" w:eastAsia="en-US"/>
              </w:rPr>
              <w:t>6</w:t>
            </w:r>
          </w:p>
        </w:tc>
        <w:tc>
          <w:tcPr>
            <w:tcW w:w="3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rFonts w:eastAsia="Calibri"/>
                <w:sz w:val="28"/>
                <w:szCs w:val="28"/>
                <w:lang w:val="ru-RU" w:eastAsia="en-US"/>
              </w:rPr>
            </w:pPr>
            <w:r>
              <w:rPr>
                <w:rFonts w:eastAsia="Calibri"/>
                <w:sz w:val="28"/>
                <w:szCs w:val="28"/>
                <w:lang w:val="ru-RU" w:eastAsia="en-US"/>
              </w:rPr>
              <w:t>Очікуваний обсяг фінансування програми</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ind w:left="2" w:hanging="0"/>
              <w:jc w:val="both"/>
              <w:rPr>
                <w:rFonts w:eastAsia="Calibri"/>
                <w:sz w:val="28"/>
                <w:szCs w:val="28"/>
                <w:highlight w:val="yellow"/>
                <w:lang w:eastAsia="en-US"/>
              </w:rPr>
            </w:pPr>
            <w:r>
              <w:rPr>
                <w:rFonts w:eastAsia="Calibri"/>
                <w:sz w:val="28"/>
                <w:szCs w:val="28"/>
                <w:lang w:eastAsia="en-US"/>
              </w:rPr>
              <w:t>10096,0</w:t>
            </w:r>
          </w:p>
        </w:tc>
      </w:tr>
    </w:tbl>
    <w:p>
      <w:pPr>
        <w:pStyle w:val="Normal"/>
        <w:rPr>
          <w:sz w:val="28"/>
          <w:szCs w:val="28"/>
        </w:rPr>
      </w:pPr>
      <w:r>
        <w:rPr>
          <w:sz w:val="28"/>
          <w:szCs w:val="28"/>
        </w:rPr>
      </w:r>
    </w:p>
    <w:p>
      <w:pPr>
        <w:pStyle w:val="Normal"/>
        <w:jc w:val="center"/>
        <w:rPr>
          <w:b/>
          <w:b/>
          <w:sz w:val="28"/>
          <w:szCs w:val="28"/>
        </w:rPr>
      </w:pPr>
      <w:r>
        <w:rPr>
          <w:b/>
          <w:color w:val="000000"/>
          <w:sz w:val="28"/>
          <w:szCs w:val="28"/>
          <w:lang w:eastAsia="uk-UA"/>
        </w:rPr>
        <w:t xml:space="preserve">2. Загальні положення </w:t>
      </w:r>
    </w:p>
    <w:p>
      <w:pPr>
        <w:pStyle w:val="Normal"/>
        <w:shd w:val="clear" w:color="auto" w:fill="FFFFFF"/>
        <w:ind w:left="11" w:firstLine="567"/>
        <w:jc w:val="both"/>
        <w:rPr>
          <w:sz w:val="28"/>
          <w:szCs w:val="28"/>
        </w:rPr>
      </w:pPr>
      <w:r>
        <w:rPr>
          <w:sz w:val="28"/>
          <w:szCs w:val="28"/>
        </w:rPr>
        <w:t xml:space="preserve">Програма спрямована на реалізацію державної політики України в галузі охорони навколишнього природного середовища, економічного та фінансового стимулювання розвитку Решетилівської міської територіальної громади відповідно до Закону України «Про охорону навколишнього середовища», Закону України «Про місцеве самоврядування в Україні», Закону України «Про охорону атмосферного повітря», Водного кодексу України, Земельного кодексу України, Закону України «Про природно – заповідний фонд України», Закону України «Про відходи», постанови Кабінету Міністрів України від 17.09.1996 № 1147 «Про затвердження переліку видів діяльності, що належать до природоохоронних заходів» та інших нормативних документів.  </w:t>
      </w:r>
    </w:p>
    <w:p>
      <w:pPr>
        <w:pStyle w:val="Normal"/>
        <w:shd w:val="clear" w:color="auto" w:fill="FFFFFF"/>
        <w:ind w:left="11" w:firstLine="567"/>
        <w:jc w:val="both"/>
        <w:rPr>
          <w:sz w:val="28"/>
          <w:szCs w:val="28"/>
        </w:rPr>
      </w:pPr>
      <w:r>
        <w:rPr>
          <w:sz w:val="28"/>
          <w:szCs w:val="28"/>
        </w:rPr>
        <w:t>Аналіз стану навколишнього середовища Решетилівської міської територіальної громади в результаті довготривалого ігнорування екологічних проблем засвідчив, що наявні природні екологічні ресурси не спроможні самостійно компенсувати наслідки безвідповідальної виробничої та побутової діяльності людини. На даний час гостро стоїть проблема покращення водозабезпечення населення та якості питної води, технічного стану колодязів та артезіанських свердловин, очищення каналізаційних стоків, збільшення водного дзеркала  на території міста Решетилівка та населених пунктів, що ввійшли до складу Решетилівської  міської територіальної громади.</w:t>
      </w:r>
    </w:p>
    <w:p>
      <w:pPr>
        <w:pStyle w:val="Normal"/>
        <w:shd w:val="clear" w:color="auto" w:fill="FFFFFF"/>
        <w:ind w:left="11" w:firstLine="567"/>
        <w:jc w:val="both"/>
        <w:rPr>
          <w:sz w:val="28"/>
          <w:szCs w:val="28"/>
        </w:rPr>
      </w:pPr>
      <w:r>
        <w:rPr>
          <w:sz w:val="28"/>
          <w:szCs w:val="28"/>
        </w:rPr>
        <w:t>Питання залишається актуальним щодо розчистки та поліпшення екологічного стану водойм на території Решетилівської міської територіальної громади.  Потрібне  проведення заходів із захисту від підтоплення і затоплення територій, сільськогосподарських угідь та інших об’єктів,  берегоукріплювальних, протизсувних, протиобвальних споруд, проводити зариблення з метою збільшення річкової фауни та поліпшення екологічного стану водойм.</w:t>
      </w:r>
    </w:p>
    <w:p>
      <w:pPr>
        <w:pStyle w:val="Normal"/>
        <w:shd w:val="clear" w:color="auto" w:fill="FFFFFF"/>
        <w:ind w:left="10" w:firstLine="567"/>
        <w:jc w:val="both"/>
        <w:rPr>
          <w:sz w:val="28"/>
          <w:szCs w:val="28"/>
        </w:rPr>
      </w:pPr>
      <w:r>
        <w:rPr>
          <w:sz w:val="28"/>
          <w:szCs w:val="28"/>
        </w:rPr>
        <w:t> </w:t>
      </w:r>
      <w:r>
        <w:rPr>
          <w:sz w:val="28"/>
          <w:szCs w:val="28"/>
        </w:rPr>
        <w:t>Ситуація, що склалася вимагає впровадження природоохоронних заходів спрямованих на створення безпечних умов проживання мешканцям Решетилівської міської територіальної громади та покращення екологічного стану в цілому за рахунок збільшення надходжень грошових коштів в місцевий бюджет та направлення їх на ефективне використання наявних природних ресурсів та проведення постійної роботи по їх збереженню та відтворенню.</w:t>
      </w:r>
    </w:p>
    <w:p>
      <w:pPr>
        <w:pStyle w:val="Normal"/>
        <w:rPr>
          <w:sz w:val="20"/>
          <w:szCs w:val="20"/>
        </w:rPr>
      </w:pPr>
      <w:r>
        <w:rPr>
          <w:sz w:val="20"/>
          <w:szCs w:val="20"/>
        </w:rPr>
      </w:r>
    </w:p>
    <w:p>
      <w:pPr>
        <w:pStyle w:val="Normal"/>
        <w:jc w:val="center"/>
        <w:rPr>
          <w:b/>
          <w:b/>
          <w:color w:val="000000"/>
          <w:sz w:val="28"/>
          <w:szCs w:val="28"/>
          <w:lang w:eastAsia="uk-UA"/>
        </w:rPr>
      </w:pPr>
      <w:r>
        <w:rPr>
          <w:b/>
          <w:color w:val="000000"/>
          <w:sz w:val="28"/>
          <w:szCs w:val="28"/>
          <w:lang w:eastAsia="uk-UA"/>
        </w:rPr>
        <w:t>3. Визначення мети Програми</w:t>
      </w:r>
    </w:p>
    <w:p>
      <w:pPr>
        <w:pStyle w:val="Normal"/>
        <w:jc w:val="center"/>
        <w:rPr>
          <w:b/>
          <w:b/>
          <w:sz w:val="28"/>
          <w:szCs w:val="28"/>
        </w:rPr>
      </w:pPr>
      <w:r>
        <w:rPr>
          <w:b/>
          <w:sz w:val="28"/>
          <w:szCs w:val="28"/>
        </w:rPr>
      </w:r>
    </w:p>
    <w:p>
      <w:pPr>
        <w:pStyle w:val="Normal"/>
        <w:shd w:val="clear" w:color="auto" w:fill="FFFFFF"/>
        <w:ind w:firstLine="567"/>
        <w:jc w:val="both"/>
        <w:rPr>
          <w:sz w:val="28"/>
          <w:szCs w:val="28"/>
        </w:rPr>
      </w:pPr>
      <w:r>
        <w:rPr>
          <w:sz w:val="28"/>
          <w:szCs w:val="28"/>
        </w:rPr>
        <w:t>Виконання передбачених Програмою природоохоронних заходів буде забезпечуватися шляхом сприяння їх реалізації, об’єднання та координації зусиль органу місцевого самоврядування, природоохоронних організацій, підприємств, наукових установ, засобів масової інформації, населення та громадських організацій, залучення зацікавлених сторін до вирішення пріоритетних проблем. та забезпечення виконання Закону України «Про охорону навколишнього природного середовища», постанови Кабінету Міністрів України від 17 вересня 1996 року №1147 «Про затвердження переліку видів діяльності, що належать до природоохоронних заходів».</w:t>
      </w:r>
    </w:p>
    <w:p>
      <w:pPr>
        <w:pStyle w:val="Normal"/>
        <w:ind w:firstLine="567"/>
        <w:rPr>
          <w:sz w:val="16"/>
          <w:szCs w:val="16"/>
        </w:rPr>
      </w:pPr>
      <w:r>
        <w:rPr>
          <w:sz w:val="16"/>
          <w:szCs w:val="16"/>
        </w:rPr>
      </w:r>
    </w:p>
    <w:p>
      <w:pPr>
        <w:pStyle w:val="Normal"/>
        <w:tabs>
          <w:tab w:val="clear" w:pos="708"/>
          <w:tab w:val="left" w:pos="2340" w:leader="none"/>
        </w:tabs>
        <w:jc w:val="center"/>
        <w:rPr>
          <w:b/>
          <w:b/>
          <w:sz w:val="28"/>
          <w:szCs w:val="28"/>
        </w:rPr>
      </w:pPr>
      <w:r>
        <w:rPr>
          <w:b/>
          <w:color w:val="000000"/>
          <w:sz w:val="28"/>
          <w:szCs w:val="28"/>
          <w:lang w:eastAsia="uk-UA"/>
        </w:rPr>
        <w:t>4. Завдання Програми</w:t>
      </w:r>
    </w:p>
    <w:p>
      <w:pPr>
        <w:pStyle w:val="Normal"/>
        <w:shd w:val="clear" w:color="auto" w:fill="FFFFFF"/>
        <w:ind w:left="523" w:hanging="0"/>
        <w:rPr>
          <w:sz w:val="28"/>
          <w:szCs w:val="28"/>
        </w:rPr>
      </w:pPr>
      <w:r>
        <w:rPr>
          <w:sz w:val="28"/>
          <w:szCs w:val="28"/>
        </w:rPr>
        <w:t>Основними напрямками реалізації Програми є:</w:t>
      </w:r>
    </w:p>
    <w:p>
      <w:pPr>
        <w:pStyle w:val="Normal"/>
        <w:shd w:val="clear" w:color="auto" w:fill="FFFFFF"/>
        <w:jc w:val="both"/>
        <w:rPr>
          <w:sz w:val="28"/>
          <w:szCs w:val="28"/>
        </w:rPr>
      </w:pPr>
      <w:r>
        <w:rPr>
          <w:sz w:val="28"/>
          <w:szCs w:val="28"/>
        </w:rPr>
        <w:t>-  розробка звіту з оцінки впливу на довкілля на території Решетилівської міської територіальної громади;</w:t>
      </w:r>
    </w:p>
    <w:p>
      <w:pPr>
        <w:pStyle w:val="Normal"/>
        <w:shd w:val="clear" w:color="auto" w:fill="FFFFFF"/>
        <w:jc w:val="both"/>
        <w:rPr>
          <w:sz w:val="28"/>
          <w:szCs w:val="28"/>
        </w:rPr>
      </w:pPr>
      <w:r>
        <w:rPr>
          <w:sz w:val="28"/>
          <w:szCs w:val="28"/>
        </w:rPr>
        <w:t>- розчищення і збільшення водності водних об’єктів на території Решетилівської міської територіальної громади;</w:t>
      </w:r>
    </w:p>
    <w:p>
      <w:pPr>
        <w:pStyle w:val="Normal"/>
        <w:shd w:val="clear" w:color="auto" w:fill="FFFFFF"/>
        <w:jc w:val="both"/>
        <w:rPr>
          <w:sz w:val="28"/>
          <w:szCs w:val="28"/>
        </w:rPr>
      </w:pPr>
      <w:r>
        <w:rPr>
          <w:sz w:val="28"/>
          <w:szCs w:val="28"/>
        </w:rPr>
        <w:t>- паспортизація водних об’єктів на території громади;</w:t>
      </w:r>
    </w:p>
    <w:p>
      <w:pPr>
        <w:pStyle w:val="Normal"/>
        <w:shd w:val="clear" w:color="auto" w:fill="FFFFFF"/>
        <w:jc w:val="both"/>
        <w:rPr>
          <w:sz w:val="28"/>
          <w:szCs w:val="28"/>
        </w:rPr>
      </w:pPr>
      <w:r>
        <w:rPr>
          <w:sz w:val="28"/>
          <w:szCs w:val="28"/>
        </w:rPr>
        <w:t>- виконання поточних доглядових робіт по забезпеченню екологічно-санітарного стану річок на території громади;</w:t>
      </w:r>
    </w:p>
    <w:p>
      <w:pPr>
        <w:pStyle w:val="Normal"/>
        <w:shd w:val="clear" w:color="auto" w:fill="FFFFFF"/>
        <w:jc w:val="both"/>
        <w:rPr>
          <w:sz w:val="28"/>
          <w:szCs w:val="28"/>
        </w:rPr>
      </w:pPr>
      <w:r>
        <w:rPr>
          <w:sz w:val="28"/>
          <w:szCs w:val="28"/>
        </w:rPr>
        <w:t>-  зариблення водних об’єктів на території громади;</w:t>
      </w:r>
    </w:p>
    <w:p>
      <w:pPr>
        <w:pStyle w:val="Normal"/>
        <w:shd w:val="clear" w:color="auto" w:fill="FFFFFF"/>
        <w:ind w:left="34" w:hanging="0"/>
        <w:jc w:val="both"/>
        <w:rPr>
          <w:sz w:val="28"/>
          <w:szCs w:val="28"/>
        </w:rPr>
      </w:pPr>
      <w:r>
        <w:rPr>
          <w:sz w:val="28"/>
          <w:szCs w:val="28"/>
        </w:rPr>
        <w:t>-  розроблення схем санітарного очищення населених пунктів;</w:t>
      </w:r>
    </w:p>
    <w:p>
      <w:pPr>
        <w:pStyle w:val="Normal"/>
        <w:ind w:right="-2" w:hanging="0"/>
        <w:jc w:val="both"/>
        <w:rPr>
          <w:sz w:val="28"/>
          <w:szCs w:val="20"/>
        </w:rPr>
      </w:pPr>
      <w:r>
        <w:rPr>
          <w:sz w:val="28"/>
          <w:szCs w:val="20"/>
        </w:rPr>
        <w:t>-  санітарна очистка та благоустрій прибережних смуг річок на території міста та інших населених пунктів;</w:t>
      </w:r>
    </w:p>
    <w:p>
      <w:pPr>
        <w:pStyle w:val="Normal"/>
        <w:shd w:val="clear" w:color="auto" w:fill="FFFFFF"/>
        <w:ind w:left="43" w:hanging="0"/>
        <w:jc w:val="both"/>
        <w:rPr>
          <w:sz w:val="28"/>
          <w:szCs w:val="28"/>
        </w:rPr>
      </w:pPr>
      <w:r>
        <w:rPr>
          <w:sz w:val="28"/>
          <w:szCs w:val="28"/>
        </w:rPr>
        <w:t>-  відновлення і підтримання сприятливого гідрологічного режиму та санітарного стану артезіанських свердловин, колодязів, водопровідної та каналізаційної мереж сіл та міста;</w:t>
      </w:r>
    </w:p>
    <w:p>
      <w:pPr>
        <w:pStyle w:val="Normal"/>
        <w:shd w:val="clear" w:color="auto" w:fill="FFFFFF"/>
        <w:jc w:val="both"/>
        <w:rPr>
          <w:sz w:val="28"/>
          <w:szCs w:val="28"/>
        </w:rPr>
      </w:pPr>
      <w:r>
        <w:rPr>
          <w:sz w:val="28"/>
          <w:szCs w:val="28"/>
        </w:rPr>
        <w:t> </w:t>
      </w:r>
      <w:r>
        <w:rPr>
          <w:sz w:val="28"/>
          <w:szCs w:val="28"/>
        </w:rPr>
        <w:t>-  озеленення території сіл та  міста, створення парків та скверів;</w:t>
      </w:r>
    </w:p>
    <w:p>
      <w:pPr>
        <w:pStyle w:val="Normal"/>
        <w:shd w:val="clear" w:color="auto" w:fill="FFFFFF"/>
        <w:ind w:left="43" w:hanging="0"/>
        <w:jc w:val="both"/>
        <w:rPr>
          <w:sz w:val="28"/>
          <w:szCs w:val="28"/>
        </w:rPr>
      </w:pPr>
      <w:r>
        <w:rPr>
          <w:sz w:val="28"/>
          <w:szCs w:val="28"/>
        </w:rPr>
        <w:t>-   розробка норм надання послуг з вивезення побутових відходів та ліквідація стихійних сміттєзвалищ, не допущення їх повторного утворення на території громади;</w:t>
      </w:r>
    </w:p>
    <w:p>
      <w:pPr>
        <w:pStyle w:val="Normal"/>
        <w:shd w:val="clear" w:color="auto" w:fill="FFFFFF"/>
        <w:ind w:left="43" w:hanging="0"/>
        <w:jc w:val="both"/>
        <w:rPr>
          <w:sz w:val="28"/>
          <w:szCs w:val="28"/>
        </w:rPr>
      </w:pPr>
      <w:r>
        <w:rPr>
          <w:sz w:val="28"/>
          <w:szCs w:val="28"/>
        </w:rPr>
        <w:t>-  впровадження роздільного збирання твердих побутових відходів.</w:t>
      </w:r>
    </w:p>
    <w:p>
      <w:pPr>
        <w:pStyle w:val="Normal"/>
        <w:tabs>
          <w:tab w:val="clear" w:pos="708"/>
          <w:tab w:val="left" w:pos="2475" w:leader="none"/>
        </w:tabs>
        <w:rPr>
          <w:b/>
          <w:b/>
          <w:sz w:val="28"/>
          <w:szCs w:val="28"/>
        </w:rPr>
      </w:pPr>
      <w:r>
        <w:rPr>
          <w:b/>
          <w:sz w:val="28"/>
          <w:szCs w:val="28"/>
        </w:rPr>
      </w:r>
    </w:p>
    <w:p>
      <w:pPr>
        <w:pStyle w:val="Normal"/>
        <w:tabs>
          <w:tab w:val="clear" w:pos="708"/>
          <w:tab w:val="left" w:pos="2475" w:leader="none"/>
        </w:tabs>
        <w:jc w:val="center"/>
        <w:rPr>
          <w:b/>
          <w:b/>
          <w:sz w:val="28"/>
          <w:szCs w:val="28"/>
        </w:rPr>
      </w:pPr>
      <w:r>
        <w:rPr>
          <w:b/>
          <w:sz w:val="28"/>
          <w:szCs w:val="28"/>
        </w:rPr>
        <w:t xml:space="preserve">5. </w:t>
      </w:r>
      <w:r>
        <w:rPr>
          <w:b/>
          <w:color w:val="000000"/>
          <w:sz w:val="28"/>
          <w:szCs w:val="28"/>
          <w:lang w:eastAsia="uk-UA"/>
        </w:rPr>
        <w:t>Фінансування Програми</w:t>
      </w:r>
    </w:p>
    <w:p>
      <w:pPr>
        <w:pStyle w:val="Normal"/>
        <w:tabs>
          <w:tab w:val="clear" w:pos="708"/>
          <w:tab w:val="left" w:pos="2475" w:leader="none"/>
        </w:tabs>
        <w:jc w:val="center"/>
        <w:rPr>
          <w:b/>
          <w:b/>
          <w:sz w:val="28"/>
          <w:szCs w:val="28"/>
        </w:rPr>
      </w:pPr>
      <w:r>
        <w:rPr>
          <w:b/>
          <w:sz w:val="28"/>
          <w:szCs w:val="28"/>
        </w:rPr>
      </w:r>
    </w:p>
    <w:p>
      <w:pPr>
        <w:pStyle w:val="Normal"/>
        <w:ind w:firstLine="567"/>
        <w:jc w:val="both"/>
        <w:rPr>
          <w:sz w:val="28"/>
          <w:szCs w:val="28"/>
        </w:rPr>
      </w:pPr>
      <w:r>
        <w:rPr>
          <w:sz w:val="28"/>
          <w:szCs w:val="28"/>
        </w:rPr>
        <w:t>Виконання передбачених Програмою природоохоронних заходів буде забезпечуватися шляхом сприяння їх реалізації, об’єднання та координації зусиль органу місцевого самоврядування, природоохоронних організацій, підприємств, наукових установ, засобів масової інформації, населення та громадських організацій, залучення зацікавлених сторін до вирішення пріоритетних проблем.</w:t>
      </w:r>
    </w:p>
    <w:p>
      <w:pPr>
        <w:pStyle w:val="Normal"/>
        <w:shd w:val="clear" w:color="auto" w:fill="FFFFFF"/>
        <w:ind w:firstLine="567"/>
        <w:jc w:val="both"/>
        <w:rPr>
          <w:sz w:val="28"/>
          <w:szCs w:val="28"/>
        </w:rPr>
      </w:pPr>
      <w:r>
        <w:rPr>
          <w:sz w:val="28"/>
          <w:szCs w:val="28"/>
        </w:rPr>
        <w:t>Фінансове забезпечення заходів у сфері екології та охорони природних ресурсів проводити за рахунок коштів</w:t>
      </w:r>
      <w:r>
        <w:rPr/>
        <w:t xml:space="preserve"> </w:t>
      </w:r>
      <w:r>
        <w:rPr>
          <w:sz w:val="28"/>
          <w:szCs w:val="28"/>
        </w:rPr>
        <w:t>державного та міського бюджетів.</w:t>
      </w:r>
    </w:p>
    <w:p>
      <w:pPr>
        <w:pStyle w:val="Normal"/>
        <w:shd w:val="clear" w:color="auto" w:fill="FFFFFF"/>
        <w:ind w:left="43" w:firstLine="524"/>
        <w:jc w:val="both"/>
        <w:rPr>
          <w:sz w:val="28"/>
          <w:szCs w:val="28"/>
        </w:rPr>
      </w:pPr>
      <w:r>
        <w:rPr>
          <w:color w:val="000000"/>
          <w:sz w:val="28"/>
          <w:szCs w:val="28"/>
        </w:rPr>
        <w:t xml:space="preserve">Заходи Програми відповідно до визначених напрямів, орієнтовні строки, очікувані джерела та обсяги фінансування представлені у Додатку. </w:t>
      </w:r>
    </w:p>
    <w:p>
      <w:pPr>
        <w:pStyle w:val="Normal"/>
        <w:tabs>
          <w:tab w:val="clear" w:pos="708"/>
          <w:tab w:val="left" w:pos="2145" w:leader="none"/>
        </w:tabs>
        <w:jc w:val="center"/>
        <w:rPr>
          <w:b/>
          <w:b/>
          <w:sz w:val="28"/>
          <w:szCs w:val="28"/>
        </w:rPr>
      </w:pPr>
      <w:r>
        <w:rPr>
          <w:b/>
          <w:sz w:val="28"/>
          <w:szCs w:val="28"/>
        </w:rPr>
      </w:r>
    </w:p>
    <w:p>
      <w:pPr>
        <w:pStyle w:val="Normal"/>
        <w:tabs>
          <w:tab w:val="clear" w:pos="708"/>
          <w:tab w:val="left" w:pos="2145" w:leader="none"/>
        </w:tabs>
        <w:jc w:val="center"/>
        <w:rPr>
          <w:b/>
          <w:b/>
          <w:sz w:val="28"/>
          <w:szCs w:val="28"/>
        </w:rPr>
      </w:pPr>
      <w:r>
        <w:rPr>
          <w:b/>
          <w:sz w:val="28"/>
          <w:szCs w:val="28"/>
        </w:rPr>
        <w:t xml:space="preserve">6. </w:t>
      </w:r>
      <w:r>
        <w:rPr>
          <w:b/>
          <w:color w:val="000000"/>
          <w:sz w:val="28"/>
          <w:szCs w:val="28"/>
          <w:lang w:eastAsia="uk-UA"/>
        </w:rPr>
        <w:t>Координація та контроль за ходом виконання Програми</w:t>
      </w:r>
    </w:p>
    <w:p>
      <w:pPr>
        <w:pStyle w:val="Normal"/>
        <w:rPr>
          <w:lang w:eastAsia="uk-UA"/>
        </w:rPr>
      </w:pPr>
      <w:r>
        <w:rPr>
          <w:lang w:eastAsia="uk-UA"/>
        </w:rPr>
      </w:r>
    </w:p>
    <w:p>
      <w:pPr>
        <w:pStyle w:val="NormalWeb"/>
        <w:spacing w:before="280" w:after="280"/>
        <w:ind w:firstLine="567"/>
        <w:jc w:val="both"/>
        <w:rPr>
          <w:color w:val="000000"/>
          <w:sz w:val="28"/>
          <w:szCs w:val="28"/>
          <w:lang w:val="uk-UA"/>
        </w:rPr>
      </w:pPr>
      <w:r>
        <w:rPr>
          <w:color w:val="000000"/>
          <w:sz w:val="28"/>
          <w:szCs w:val="28"/>
          <w:lang w:val="uk-UA"/>
        </w:rPr>
        <w:t>Організація виконання Програми покладається на виконавчий комітет Решетилівської міської ради.</w:t>
      </w:r>
    </w:p>
    <w:p>
      <w:pPr>
        <w:pStyle w:val="Normal"/>
        <w:ind w:firstLine="567"/>
        <w:jc w:val="both"/>
        <w:rPr>
          <w:color w:val="000000"/>
          <w:sz w:val="28"/>
          <w:szCs w:val="28"/>
        </w:rPr>
      </w:pPr>
      <w:r>
        <w:rPr>
          <w:color w:val="000000"/>
          <w:sz w:val="28"/>
          <w:szCs w:val="28"/>
        </w:rPr>
        <w:t>Виконавчий комітет звітує</w:t>
      </w:r>
      <w:r>
        <w:rPr>
          <w:color w:val="000000"/>
          <w:sz w:val="28"/>
          <w:szCs w:val="28"/>
          <w:lang w:eastAsia="uk-UA"/>
        </w:rPr>
        <w:t xml:space="preserve"> про хід виконання Програми </w:t>
      </w:r>
      <w:r>
        <w:rPr>
          <w:color w:val="000000"/>
          <w:sz w:val="28"/>
          <w:szCs w:val="28"/>
        </w:rPr>
        <w:t xml:space="preserve"> перед міською радою  щороку, протягом терміну реалізації Програми.</w:t>
      </w:r>
    </w:p>
    <w:p>
      <w:pPr>
        <w:pStyle w:val="Normal"/>
        <w:ind w:firstLine="567"/>
        <w:jc w:val="both"/>
        <w:rPr>
          <w:color w:val="000000"/>
          <w:sz w:val="28"/>
          <w:szCs w:val="28"/>
        </w:rPr>
      </w:pPr>
      <w:r>
        <w:rPr>
          <w:sz w:val="28"/>
          <w:szCs w:val="28"/>
        </w:rPr>
        <w:t xml:space="preserve">Контроль за виконанням Програми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 здійснює </w:t>
      </w:r>
      <w:r>
        <w:rPr>
          <w:color w:val="000000"/>
          <w:sz w:val="28"/>
          <w:szCs w:val="28"/>
        </w:rPr>
        <w:t>виконавчий комітет Решетилівської міської ради.</w:t>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
        <w:rPr>
          <w:sz w:val="28"/>
          <w:szCs w:val="28"/>
        </w:rPr>
      </w:pPr>
      <w:r>
        <w:rPr/>
      </w:r>
    </w:p>
    <w:p>
      <w:pPr>
        <w:pStyle w:val="Normal"/>
        <w:tabs>
          <w:tab w:val="clear" w:pos="708"/>
          <w:tab w:val="left" w:pos="8325" w:leader="none"/>
        </w:tabs>
        <w:ind w:firstLine="9411"/>
        <w:rPr>
          <w:sz w:val="28"/>
          <w:szCs w:val="28"/>
        </w:rPr>
      </w:pPr>
      <w:r>
        <w:rPr>
          <w:sz w:val="28"/>
          <w:szCs w:val="28"/>
        </w:rPr>
        <w:t>Додаток</w:t>
      </w:r>
    </w:p>
    <w:p>
      <w:pPr>
        <w:pStyle w:val="Normal"/>
        <w:tabs>
          <w:tab w:val="clear" w:pos="708"/>
          <w:tab w:val="left" w:pos="8325" w:leader="none"/>
        </w:tabs>
        <w:ind w:left="9411" w:hanging="0"/>
        <w:jc w:val="both"/>
        <w:rPr>
          <w:sz w:val="28"/>
          <w:szCs w:val="28"/>
        </w:rPr>
      </w:pPr>
      <w:r>
        <w:rPr>
          <w:sz w:val="28"/>
          <w:szCs w:val="28"/>
        </w:rPr>
        <w:t>до Програми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rPr>
          <w:sz w:val="28"/>
          <w:szCs w:val="28"/>
        </w:rPr>
      </w:pPr>
      <w:r>
        <w:rPr>
          <w:sz w:val="28"/>
          <w:szCs w:val="28"/>
        </w:rPr>
      </w:r>
    </w:p>
    <w:p>
      <w:pPr>
        <w:pStyle w:val="Normal"/>
        <w:shd w:val="clear" w:color="auto" w:fill="FFFFFF"/>
        <w:jc w:val="center"/>
        <w:rPr/>
      </w:pPr>
      <w:r>
        <w:rPr>
          <w:b/>
          <w:bCs/>
          <w:sz w:val="28"/>
          <w:szCs w:val="28"/>
        </w:rPr>
        <w:t xml:space="preserve">ЗАХОДИ </w:t>
      </w:r>
    </w:p>
    <w:p>
      <w:pPr>
        <w:pStyle w:val="Normal"/>
        <w:shd w:val="clear" w:color="auto" w:fill="FFFFFF"/>
        <w:jc w:val="center"/>
        <w:rPr>
          <w:sz w:val="28"/>
          <w:szCs w:val="28"/>
        </w:rPr>
      </w:pPr>
      <w:r>
        <w:rPr>
          <w:b/>
          <w:bCs/>
          <w:sz w:val="28"/>
          <w:szCs w:val="28"/>
        </w:rPr>
        <w:t>по реалізації Програми</w:t>
      </w:r>
    </w:p>
    <w:p>
      <w:pPr>
        <w:pStyle w:val="Normal"/>
        <w:jc w:val="center"/>
        <w:rPr/>
      </w:pPr>
      <w:r>
        <w:rPr>
          <w:b/>
          <w:bCs/>
          <w:sz w:val="28"/>
          <w:szCs w:val="28"/>
        </w:rPr>
        <w:t>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jc w:val="center"/>
        <w:rPr>
          <w:b/>
          <w:b/>
          <w:bCs/>
          <w:sz w:val="28"/>
          <w:szCs w:val="28"/>
        </w:rPr>
      </w:pPr>
      <w:r>
        <w:rPr>
          <w:b/>
          <w:bCs/>
          <w:sz w:val="28"/>
          <w:szCs w:val="28"/>
        </w:rPr>
      </w:r>
    </w:p>
    <w:tbl>
      <w:tblPr>
        <w:tblW w:w="14571" w:type="dxa"/>
        <w:jc w:val="left"/>
        <w:tblInd w:w="88" w:type="dxa"/>
        <w:tblCellMar>
          <w:top w:w="0" w:type="dxa"/>
          <w:left w:w="103" w:type="dxa"/>
          <w:bottom w:w="0" w:type="dxa"/>
          <w:right w:w="108" w:type="dxa"/>
        </w:tblCellMar>
        <w:tblLook w:firstRow="1" w:noVBand="1" w:lastRow="0" w:firstColumn="1" w:lastColumn="0" w:noHBand="0" w:val="04a0"/>
      </w:tblPr>
      <w:tblGrid>
        <w:gridCol w:w="628"/>
        <w:gridCol w:w="3565"/>
        <w:gridCol w:w="3"/>
        <w:gridCol w:w="1526"/>
        <w:gridCol w:w="2"/>
        <w:gridCol w:w="1692"/>
        <w:gridCol w:w="3"/>
        <w:gridCol w:w="2773"/>
        <w:gridCol w:w="1"/>
        <w:gridCol w:w="6"/>
        <w:gridCol w:w="1013"/>
        <w:gridCol w:w="58"/>
        <w:gridCol w:w="3"/>
        <w:gridCol w:w="1077"/>
        <w:gridCol w:w="3"/>
        <w:gridCol w:w="6"/>
        <w:gridCol w:w="1055"/>
        <w:gridCol w:w="2"/>
        <w:gridCol w:w="6"/>
        <w:gridCol w:w="1147"/>
      </w:tblGrid>
      <w:tr>
        <w:trPr>
          <w:trHeight w:val="840"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 </w:t>
            </w:r>
            <w:r>
              <w:rPr>
                <w:color w:val="000000"/>
                <w:sz w:val="28"/>
                <w:szCs w:val="28"/>
              </w:rPr>
              <w:t>п/п</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Перелік заходів Програми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Строк виконання заходу</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Виконавці</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Джерело фінансування</w:t>
            </w:r>
          </w:p>
        </w:tc>
        <w:tc>
          <w:tcPr>
            <w:tcW w:w="4377"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Орієнтовний обсяг по роках, тис. грн.</w:t>
            </w:r>
          </w:p>
        </w:tc>
      </w:tr>
      <w:tr>
        <w:trPr>
          <w:trHeight w:val="375" w:hRule="atLeast"/>
        </w:trPr>
        <w:tc>
          <w:tcPr>
            <w:tcW w:w="419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w:t>
            </w:r>
          </w:p>
        </w:tc>
        <w:tc>
          <w:tcPr>
            <w:tcW w:w="152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r>
          </w:p>
        </w:tc>
        <w:tc>
          <w:tcPr>
            <w:tcW w:w="169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 </w:t>
            </w:r>
          </w:p>
        </w:tc>
        <w:tc>
          <w:tcPr>
            <w:tcW w:w="27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w:t>
            </w:r>
          </w:p>
        </w:tc>
        <w:tc>
          <w:tcPr>
            <w:tcW w:w="10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2022</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2023</w:t>
            </w:r>
          </w:p>
        </w:tc>
        <w:tc>
          <w:tcPr>
            <w:tcW w:w="106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2024</w:t>
            </w:r>
          </w:p>
        </w:tc>
        <w:tc>
          <w:tcPr>
            <w:tcW w:w="11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2025</w:t>
            </w:r>
          </w:p>
        </w:tc>
      </w:tr>
      <w:tr>
        <w:trPr>
          <w:trHeight w:val="2114"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Розчищення і збільшення водності водних об’єктів на території Решетилівської міської територіальної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2022-2023 роки</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r>
      <w:tr>
        <w:trPr>
          <w:trHeight w:val="2085"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Зариблення водойм на території міста та інших населених пунктів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Щороку</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r>
      <w:tr>
        <w:trPr>
          <w:trHeight w:val="1530"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Проведення днопоглиблювальних робіт річок на території громади </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2022 рік,         2024 рік</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r>
      <w:tr>
        <w:trPr>
          <w:trHeight w:val="2715"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4.</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Озеленення, окультурення  міста та населених пунктів, які входять до складу громади, щорічно придбаючи та висаджуючи багаторічні насадження на території громади  </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Щороку</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r>
      <w:tr>
        <w:trPr>
          <w:trHeight w:val="1815"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5.</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Розробка звіту з оцінки впливу на довкілля на території Решетилівської міської територіальної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2022 рік,         2024 рік</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r>
      <w:tr>
        <w:trPr>
          <w:trHeight w:val="1785"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6.</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Розробка норм надання послуг з вивезення побутових відходів на території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2023 рік</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300,0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r>
      <w:tr>
        <w:trPr>
          <w:trHeight w:val="2490"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7.</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Виконання поточних доглядових робіт по забезпеченню екологічно-санітарного стану річок на території Решетилівської міської територіальної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Щороку</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49,0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49,0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49,0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49,0</w:t>
            </w:r>
          </w:p>
        </w:tc>
      </w:tr>
      <w:tr>
        <w:trPr>
          <w:trHeight w:val="1650"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8.</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Розроблення схем санітарного очищення населених пунктів на території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2023 рік</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200,0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w:t>
            </w:r>
          </w:p>
        </w:tc>
      </w:tr>
      <w:tr>
        <w:trPr>
          <w:trHeight w:val="1470"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9.</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Санітарна очистка та благоустрій прибережних смуг річок на території громади</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Щороку</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100,0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100,0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100,0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100,0</w:t>
            </w:r>
          </w:p>
        </w:tc>
      </w:tr>
      <w:tr>
        <w:trPr>
          <w:trHeight w:val="1245" w:hRule="atLeast"/>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10.</w:t>
            </w:r>
          </w:p>
        </w:tc>
        <w:tc>
          <w:tcPr>
            <w:tcW w:w="3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Розроблення паспортів водних об'єктів</w:t>
            </w:r>
          </w:p>
        </w:tc>
        <w:tc>
          <w:tcPr>
            <w:tcW w:w="15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Щороку </w:t>
            </w:r>
          </w:p>
        </w:tc>
        <w:tc>
          <w:tcPr>
            <w:tcW w:w="16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 xml:space="preserve">Виконавчий комітет </w:t>
            </w:r>
          </w:p>
        </w:tc>
        <w:tc>
          <w:tcPr>
            <w:tcW w:w="27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Кошти з місцевого бюджету, кошти з державного бюджету</w:t>
            </w:r>
          </w:p>
        </w:tc>
        <w:tc>
          <w:tcPr>
            <w:tcW w:w="107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50,0</w:t>
            </w:r>
          </w:p>
        </w:tc>
        <w:tc>
          <w:tcPr>
            <w:tcW w:w="10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50,0</w:t>
            </w:r>
          </w:p>
        </w:tc>
        <w:tc>
          <w:tcPr>
            <w:tcW w:w="10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50,0</w:t>
            </w:r>
          </w:p>
        </w:tc>
        <w:tc>
          <w:tcPr>
            <w:tcW w:w="115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0"/>
                <w:szCs w:val="20"/>
              </w:rPr>
            </w:pPr>
            <w:r>
              <w:rPr>
                <w:color w:val="000000"/>
                <w:sz w:val="28"/>
                <w:szCs w:val="28"/>
              </w:rPr>
              <w:t>50,0</w:t>
            </w:r>
          </w:p>
        </w:tc>
      </w:tr>
      <w:tr>
        <w:trPr>
          <w:trHeight w:val="300" w:hRule="atLeast"/>
        </w:trPr>
        <w:tc>
          <w:tcPr>
            <w:tcW w:w="10199"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Загальний обсяг фінансування по роках:</w:t>
            </w:r>
          </w:p>
        </w:tc>
        <w:tc>
          <w:tcPr>
            <w:tcW w:w="1013" w:type="dxa"/>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4199,0</w:t>
            </w:r>
          </w:p>
        </w:tc>
        <w:tc>
          <w:tcPr>
            <w:tcW w:w="1147" w:type="dxa"/>
            <w:gridSpan w:val="5"/>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1399,0</w:t>
            </w:r>
          </w:p>
        </w:tc>
        <w:tc>
          <w:tcPr>
            <w:tcW w:w="1063" w:type="dxa"/>
            <w:gridSpan w:val="3"/>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3899,0</w:t>
            </w:r>
          </w:p>
        </w:tc>
        <w:tc>
          <w:tcPr>
            <w:tcW w:w="1147" w:type="dxa"/>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599,0</w:t>
            </w:r>
          </w:p>
        </w:tc>
      </w:tr>
      <w:tr>
        <w:trPr>
          <w:trHeight w:val="300" w:hRule="atLeast"/>
        </w:trPr>
        <w:tc>
          <w:tcPr>
            <w:tcW w:w="14569" w:type="dxa"/>
            <w:gridSpan w:val="2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 xml:space="preserve">Всього:                                                                </w:t>
            </w:r>
            <w:r>
              <w:rPr>
                <w:color w:val="000000"/>
                <w:sz w:val="28"/>
                <w:szCs w:val="28"/>
                <w:lang w:val="en-US"/>
              </w:rPr>
              <w:t xml:space="preserve">                                                                                         </w:t>
            </w:r>
            <w:r>
              <w:rPr>
                <w:color w:val="000000"/>
                <w:sz w:val="28"/>
                <w:szCs w:val="28"/>
              </w:rPr>
              <w:t>10096,0</w:t>
            </w:r>
          </w:p>
        </w:tc>
      </w:tr>
    </w:tbl>
    <w:p>
      <w:pPr>
        <w:pStyle w:val="Normal"/>
        <w:jc w:val="center"/>
        <w:rPr>
          <w:b/>
          <w:b/>
          <w:bCs/>
          <w:sz w:val="28"/>
          <w:szCs w:val="28"/>
        </w:rPr>
      </w:pPr>
      <w:r>
        <w:rPr>
          <w:b/>
          <w:bCs/>
          <w:sz w:val="28"/>
          <w:szCs w:val="28"/>
        </w:rPr>
      </w:r>
    </w:p>
    <w:p>
      <w:pPr>
        <w:pStyle w:val="Normal"/>
        <w:shd w:val="clear" w:color="auto" w:fill="FFFFFF"/>
        <w:jc w:val="both"/>
        <w:rPr>
          <w:rFonts w:cs="Arial"/>
          <w:sz w:val="28"/>
          <w:szCs w:val="28"/>
        </w:rPr>
      </w:pPr>
      <w:r>
        <w:rPr>
          <w:rFonts w:cs="Arial"/>
          <w:sz w:val="28"/>
          <w:szCs w:val="28"/>
        </w:rPr>
      </w:r>
    </w:p>
    <w:p>
      <w:pPr>
        <w:pStyle w:val="Normal"/>
        <w:shd w:val="clear" w:color="auto" w:fill="FFFFFF"/>
        <w:jc w:val="both"/>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5f2a"/>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0"/>
    <w:uiPriority w:val="99"/>
    <w:qFormat/>
    <w:rsid w:val="007c7514"/>
    <w:pPr>
      <w:keepNext w:val="true"/>
      <w:keepLines/>
      <w:spacing w:lineRule="auto" w:line="276" w:before="480" w:after="0"/>
      <w:outlineLvl w:val="0"/>
    </w:pPr>
    <w:rPr>
      <w:rFonts w:ascii="Cambria" w:hAnsi="Cambria"/>
      <w:b/>
      <w:bCs/>
      <w:color w:val="365F91"/>
      <w:sz w:val="28"/>
      <w:szCs w:val="28"/>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7c7514"/>
    <w:rPr>
      <w:rFonts w:ascii="Cambria" w:hAnsi="Cambria" w:cs="Times New Roman"/>
      <w:b/>
      <w:bCs/>
      <w:color w:val="365F91"/>
      <w:sz w:val="28"/>
      <w:szCs w:val="28"/>
    </w:rPr>
  </w:style>
  <w:style w:type="character" w:styleId="Style13" w:customStyle="1">
    <w:name w:val="Службовий Знак"/>
    <w:uiPriority w:val="99"/>
    <w:qFormat/>
    <w:locked/>
    <w:rsid w:val="00e35f2a"/>
    <w:rPr>
      <w:lang w:eastAsia="ru-RU"/>
    </w:rPr>
  </w:style>
  <w:style w:type="character" w:styleId="Spelle" w:customStyle="1">
    <w:name w:val="spelle"/>
    <w:basedOn w:val="DefaultParagraphFont"/>
    <w:uiPriority w:val="99"/>
    <w:qFormat/>
    <w:rsid w:val="00f32980"/>
    <w:rPr>
      <w:rFonts w:cs="Times New Roman"/>
    </w:rPr>
  </w:style>
  <w:style w:type="character" w:styleId="2" w:customStyle="1">
    <w:name w:val="Основной текст с отступом 2 Знак"/>
    <w:basedOn w:val="DefaultParagraphFont"/>
    <w:link w:val="2"/>
    <w:uiPriority w:val="99"/>
    <w:qFormat/>
    <w:locked/>
    <w:rsid w:val="00f32980"/>
    <w:rPr>
      <w:rFonts w:cs="Times New Roman"/>
    </w:rPr>
  </w:style>
  <w:style w:type="character" w:styleId="HTML" w:customStyle="1">
    <w:name w:val="Стандартный HTML Знак"/>
    <w:basedOn w:val="DefaultParagraphFont"/>
    <w:link w:val="HTML"/>
    <w:uiPriority w:val="99"/>
    <w:qFormat/>
    <w:locked/>
    <w:rsid w:val="00f32980"/>
    <w:rPr>
      <w:rFonts w:ascii="Courier New" w:hAnsi="Courier New" w:cs="Courier New"/>
      <w:sz w:val="20"/>
      <w:szCs w:val="20"/>
      <w:lang w:eastAsia="uk-UA"/>
    </w:rPr>
  </w:style>
  <w:style w:type="character" w:styleId="Grame" w:customStyle="1">
    <w:name w:val="grame"/>
    <w:basedOn w:val="DefaultParagraphFont"/>
    <w:uiPriority w:val="99"/>
    <w:qFormat/>
    <w:rsid w:val="007c7514"/>
    <w:rPr>
      <w:rFonts w:cs="Times New Roman"/>
    </w:rPr>
  </w:style>
  <w:style w:type="character" w:styleId="Style14" w:customStyle="1">
    <w:name w:val="Верхний колонтитул Знак"/>
    <w:basedOn w:val="DefaultParagraphFont"/>
    <w:uiPriority w:val="99"/>
    <w:semiHidden/>
    <w:qFormat/>
    <w:locked/>
    <w:rsid w:val="008e637a"/>
    <w:rPr>
      <w:rFonts w:eastAsia="Times New Roman" w:cs="Times New Roman"/>
      <w:sz w:val="24"/>
      <w:szCs w:val="24"/>
      <w:lang w:eastAsia="ru-RU"/>
    </w:rPr>
  </w:style>
  <w:style w:type="character" w:styleId="Style15" w:customStyle="1">
    <w:name w:val="Нижний колонтитул Знак"/>
    <w:basedOn w:val="DefaultParagraphFont"/>
    <w:uiPriority w:val="99"/>
    <w:semiHidden/>
    <w:qFormat/>
    <w:locked/>
    <w:rsid w:val="008e637a"/>
    <w:rPr>
      <w:rFonts w:eastAsia="Times New Roman" w:cs="Times New Roman"/>
      <w:sz w:val="24"/>
      <w:szCs w:val="24"/>
      <w:lang w:eastAsia="ru-RU"/>
    </w:rPr>
  </w:style>
  <w:style w:type="character" w:styleId="Strong">
    <w:name w:val="Strong"/>
    <w:basedOn w:val="DefaultParagraphFont"/>
    <w:uiPriority w:val="99"/>
    <w:qFormat/>
    <w:locked/>
    <w:rsid w:val="0043135d"/>
    <w:rPr>
      <w:rFonts w:cs="Times New Roman"/>
      <w:b/>
      <w:bCs/>
    </w:rPr>
  </w:style>
  <w:style w:type="character" w:styleId="Style16" w:customStyle="1">
    <w:name w:val="Текст выноски Знак"/>
    <w:basedOn w:val="DefaultParagraphFont"/>
    <w:uiPriority w:val="99"/>
    <w:semiHidden/>
    <w:qFormat/>
    <w:rsid w:val="00bf1542"/>
    <w:rPr>
      <w:rFonts w:ascii="Segoe UI" w:hAnsi="Segoe UI" w:eastAsia="Times New Roman" w:cs="Segoe UI"/>
      <w:sz w:val="18"/>
      <w:szCs w:val="18"/>
      <w:lang w:val="uk-UA" w:eastAsia="ru-RU"/>
    </w:rPr>
  </w:style>
  <w:style w:type="character" w:styleId="12" w:customStyle="1">
    <w:name w:val="Основной текст1"/>
    <w:uiPriority w:val="99"/>
    <w:qFormat/>
    <w:rsid w:val="009d2f29"/>
    <w:rPr>
      <w:rFonts w:ascii="Times New Roman" w:hAnsi="Times New Roman"/>
      <w:color w:val="000000"/>
      <w:spacing w:val="0"/>
      <w:w w:val="100"/>
      <w:sz w:val="26"/>
      <w:u w:val="single"/>
      <w:lang w:val="uk-UA"/>
    </w:rPr>
  </w:style>
  <w:style w:type="character" w:styleId="Rvts0" w:customStyle="1">
    <w:name w:val="rvts0"/>
    <w:basedOn w:val="DefaultParagraphFont"/>
    <w:qFormat/>
    <w:rsid w:val="00fa220a"/>
    <w:rPr/>
  </w:style>
  <w:style w:type="character" w:styleId="Docdata" w:customStyle="1">
    <w:name w:val="docdata"/>
    <w:basedOn w:val="DefaultParagraphFont"/>
    <w:qFormat/>
    <w:rsid w:val="002a522c"/>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2" w:customStyle="1">
    <w:name w:val="Службовий"/>
    <w:basedOn w:val="Normal"/>
    <w:uiPriority w:val="99"/>
    <w:qFormat/>
    <w:rsid w:val="00e35f2a"/>
    <w:pPr>
      <w:jc w:val="both"/>
    </w:pPr>
    <w:rPr>
      <w:rFonts w:eastAsia="Calibri"/>
      <w:sz w:val="20"/>
      <w:szCs w:val="20"/>
      <w:lang w:val="en-US"/>
    </w:rPr>
  </w:style>
  <w:style w:type="paragraph" w:styleId="BodyTextIndent2">
    <w:name w:val="Body Text Indent 2"/>
    <w:basedOn w:val="Normal"/>
    <w:uiPriority w:val="99"/>
    <w:qFormat/>
    <w:rsid w:val="00f32980"/>
    <w:pPr>
      <w:spacing w:lineRule="auto" w:line="480" w:before="0" w:after="120"/>
      <w:ind w:left="283" w:hanging="0"/>
    </w:pPr>
    <w:rPr>
      <w:rFonts w:eastAsia="Calibri"/>
      <w:sz w:val="28"/>
      <w:szCs w:val="22"/>
      <w:lang w:eastAsia="en-US"/>
    </w:rPr>
  </w:style>
  <w:style w:type="paragraph" w:styleId="HTMLPreformatted">
    <w:name w:val="HTML Preformatted"/>
    <w:basedOn w:val="Normal"/>
    <w:uiPriority w:val="99"/>
    <w:qFormat/>
    <w:rsid w:val="00f3298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uk-UA"/>
    </w:rPr>
  </w:style>
  <w:style w:type="paragraph" w:styleId="NormalWeb">
    <w:name w:val="Normal (Web)"/>
    <w:basedOn w:val="Normal"/>
    <w:qFormat/>
    <w:rsid w:val="00c34d72"/>
    <w:pPr>
      <w:spacing w:beforeAutospacing="1" w:afterAutospacing="1"/>
    </w:pPr>
    <w:rPr>
      <w:lang w:val="ru-RU"/>
    </w:rPr>
  </w:style>
  <w:style w:type="paragraph" w:styleId="ListParagraph">
    <w:name w:val="List Paragraph"/>
    <w:basedOn w:val="Normal"/>
    <w:uiPriority w:val="99"/>
    <w:qFormat/>
    <w:rsid w:val="007f4d68"/>
    <w:pPr>
      <w:spacing w:lineRule="auto" w:line="276" w:before="0" w:after="200"/>
      <w:ind w:left="720" w:hanging="0"/>
    </w:pPr>
    <w:rPr>
      <w:rFonts w:ascii="Calibri" w:hAnsi="Calibri" w:eastAsia="Calibri"/>
      <w:sz w:val="22"/>
      <w:szCs w:val="22"/>
      <w:lang w:val="ru-RU" w:eastAsia="en-US"/>
    </w:rPr>
  </w:style>
  <w:style w:type="paragraph" w:styleId="Rvps2" w:customStyle="1">
    <w:name w:val="rvps2"/>
    <w:basedOn w:val="Normal"/>
    <w:uiPriority w:val="99"/>
    <w:qFormat/>
    <w:rsid w:val="008349c1"/>
    <w:pPr>
      <w:spacing w:beforeAutospacing="1" w:afterAutospacing="1"/>
    </w:pPr>
    <w:rPr>
      <w:lang w:eastAsia="uk-UA"/>
    </w:rPr>
  </w:style>
  <w:style w:type="paragraph" w:styleId="Style23" w:customStyle="1">
    <w:name w:val="Верхний и нижний колонтитулы"/>
    <w:basedOn w:val="Normal"/>
    <w:qFormat/>
    <w:pPr/>
    <w:rPr/>
  </w:style>
  <w:style w:type="paragraph" w:styleId="Style24">
    <w:name w:val="Header"/>
    <w:basedOn w:val="Normal"/>
    <w:uiPriority w:val="99"/>
    <w:semiHidden/>
    <w:rsid w:val="008e637a"/>
    <w:pPr>
      <w:tabs>
        <w:tab w:val="clear" w:pos="708"/>
        <w:tab w:val="center" w:pos="4819" w:leader="none"/>
        <w:tab w:val="right" w:pos="9639" w:leader="none"/>
      </w:tabs>
    </w:pPr>
    <w:rPr/>
  </w:style>
  <w:style w:type="paragraph" w:styleId="Style25">
    <w:name w:val="Footer"/>
    <w:basedOn w:val="Normal"/>
    <w:uiPriority w:val="99"/>
    <w:semiHidden/>
    <w:rsid w:val="008e637a"/>
    <w:pPr>
      <w:tabs>
        <w:tab w:val="clear" w:pos="708"/>
        <w:tab w:val="center" w:pos="4819" w:leader="none"/>
        <w:tab w:val="right" w:pos="9639" w:leader="none"/>
      </w:tabs>
    </w:pPr>
    <w:rPr/>
  </w:style>
  <w:style w:type="paragraph" w:styleId="13" w:customStyle="1">
    <w:name w:val="Без интервала1"/>
    <w:uiPriority w:val="99"/>
    <w:qFormat/>
    <w:rsid w:val="0043135d"/>
    <w:pPr>
      <w:widowControl/>
      <w:bidi w:val="0"/>
      <w:jc w:val="left"/>
    </w:pPr>
    <w:rPr>
      <w:rFonts w:ascii="Calibri" w:hAnsi="Calibri" w:eastAsia="Times New Roman" w:cs="Times New Roman"/>
      <w:color w:val="auto"/>
      <w:kern w:val="0"/>
      <w:sz w:val="24"/>
      <w:szCs w:val="22"/>
      <w:lang w:val="uk-UA" w:eastAsia="en-US" w:bidi="ar-SA"/>
    </w:rPr>
  </w:style>
  <w:style w:type="paragraph" w:styleId="BalloonText">
    <w:name w:val="Balloon Text"/>
    <w:basedOn w:val="Normal"/>
    <w:uiPriority w:val="99"/>
    <w:semiHidden/>
    <w:unhideWhenUsed/>
    <w:qFormat/>
    <w:rsid w:val="00bf1542"/>
    <w:pPr/>
    <w:rPr>
      <w:rFonts w:ascii="Segoe UI" w:hAnsi="Segoe UI" w:cs="Segoe UI"/>
      <w:sz w:val="18"/>
      <w:szCs w:val="18"/>
    </w:rPr>
  </w:style>
  <w:style w:type="paragraph" w:styleId="Standard" w:customStyle="1">
    <w:name w:val="Standard"/>
    <w:qFormat/>
    <w:rsid w:val="00644685"/>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2648" w:customStyle="1">
    <w:name w:val="2648"/>
    <w:basedOn w:val="Normal"/>
    <w:qFormat/>
    <w:rsid w:val="002a522c"/>
    <w:pPr>
      <w:spacing w:beforeAutospacing="1" w:afterAutospacing="1"/>
    </w:pPr>
    <w:rPr>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d80fe1"/>
    <w:rPr>
      <w:rFonts w:asciiTheme="minorHAnsi" w:hAnsiTheme="minorHAnsi" w:eastAsiaTheme="minorHAnsi" w:cstheme="minorBidi"/>
      <w:lang w:val="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LibreOffice/6.3.1.2$Windows_X86_64 LibreOffice_project/b79626edf0065ac373bd1df5c28bd630b4424273</Application>
  <Pages>8</Pages>
  <Words>1228</Words>
  <Characters>8712</Characters>
  <CharactersWithSpaces>10180</CharactersWithSpaces>
  <Paragraphs>183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2021-12-28T14:49:00Z</dcterms:created>
  <dc:creator>Геннадий</dc:creator>
  <dc:description/>
  <dc:language>uk-UA</dc:language>
  <cp:lastModifiedBy/>
  <cp:lastPrinted>2021-12-29T14:19:13Z</cp:lastPrinted>
  <dcterms:modified xsi:type="dcterms:W3CDTF">2021-12-29T14:19:29Z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