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>п'ятнадцята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 xml:space="preserve"> 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спільних засідань постійних комісій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-комісії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-комісії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30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.11.2021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Головувала: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 xml:space="preserve"> - голова постійної комісії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.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</w:r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5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78 основних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питання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та 6 додаткових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.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постійні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Не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погод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ити проекти рішень по питаннях порядку денного під номерами 1,2,3,4,5,6,12,15,18,19,20,22,23,24,25,30,31,33,34,36,37,39,41,42,43,44,45,47,48,50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всі інші проекти рішень винести на розгляд ради без внесення змін та доповнень.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LibreOffice/6.3.1.2$Windows_X86_64 LibreOffice_project/b79626edf0065ac373bd1df5c28bd630b4424273</Application>
  <Pages>1</Pages>
  <Words>156</Words>
  <Characters>1215</Characters>
  <CharactersWithSpaces>1409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2021-12-08T08:42:26Z</cp:lastPrinted>
  <dcterms:modified xsi:type="dcterms:W3CDTF">2021-12-08T08:44:21Z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