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-457200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(дванадцята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30 вересня 2021 року                                                                       № </w:t>
      </w:r>
      <w:r>
        <w:rPr>
          <w:sz w:val="28"/>
          <w:szCs w:val="28"/>
          <w:lang w:val="en-US"/>
        </w:rPr>
        <w:t>659</w:t>
      </w:r>
      <w:r>
        <w:rPr>
          <w:sz w:val="28"/>
          <w:szCs w:val="28"/>
        </w:rPr>
        <w:t>- 12 - 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затвердження Програми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після проєктного моніторингу діяльності з ,,Розчистки ділянки р. Грузька Говтва біля села Прокопівка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Полтавського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району Полтавської області на 2021-2023 роки”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Відповідно до п. 22 ч. 1 статті 26 Закону України „ Про місцеве самоврядування в Україні”</w:t>
      </w:r>
      <w:r>
        <w:rPr>
          <w:rStyle w:val="Style15"/>
          <w:rFonts w:eastAsia="Times New Roman" w:cs="Times New Roman"/>
          <w:b w:val="false"/>
          <w:bCs w:val="false"/>
          <w:kern w:val="0"/>
          <w:sz w:val="28"/>
          <w:szCs w:val="28"/>
          <w:lang w:bidi="ar-SA"/>
        </w:rPr>
        <w:t xml:space="preserve"> та  Закону України ,,Про оцінку впливу на довкілля”,</w:t>
      </w:r>
      <w:r>
        <w:rPr>
          <w:sz w:val="28"/>
          <w:szCs w:val="28"/>
        </w:rPr>
        <w:t xml:space="preserve">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Затвердити Програму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після проєктного моніторингу діяльності з ,,Розчистки ділянки р. Грузька Говтва біля села Прокопівка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Полтавського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району Полтавської області  на 2021-2023 роки”, що додається.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/>
        <w:t xml:space="preserve">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Міський голова                                                                                  О.А.Дядюнова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  <w:tab/>
        <w:tab/>
        <w:tab/>
        <w:tab/>
        <w:tab/>
        <w:tab/>
      </w:r>
      <w:r>
        <w:rPr>
          <w:b w:val="false"/>
          <w:bCs w:val="false"/>
          <w:sz w:val="28"/>
          <w:szCs w:val="28"/>
        </w:rPr>
        <w:t>ЗАТВЕРДЖЕНО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рішення Решетилівської міської ради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       </w:t>
      </w:r>
      <w:r>
        <w:rPr>
          <w:b w:val="false"/>
          <w:bCs w:val="false"/>
          <w:sz w:val="28"/>
          <w:szCs w:val="28"/>
        </w:rPr>
        <w:t>восьмого скликання</w:t>
      </w:r>
    </w:p>
    <w:p>
      <w:pPr>
        <w:pStyle w:val="Normal"/>
        <w:ind w:left="3540" w:right="0" w:firstLine="708"/>
        <w:rPr/>
      </w:pPr>
      <w:r>
        <w:rPr>
          <w:b w:val="false"/>
          <w:bCs w:val="false"/>
          <w:sz w:val="28"/>
          <w:szCs w:val="28"/>
        </w:rPr>
        <w:t xml:space="preserve">          </w:t>
      </w:r>
      <w:r>
        <w:rPr>
          <w:b w:val="false"/>
          <w:bCs w:val="false"/>
          <w:sz w:val="28"/>
          <w:szCs w:val="28"/>
        </w:rPr>
        <w:t xml:space="preserve">30 </w:t>
      </w:r>
      <w:r>
        <w:rPr>
          <w:b w:val="false"/>
          <w:bCs w:val="false"/>
          <w:sz w:val="28"/>
          <w:szCs w:val="28"/>
        </w:rPr>
        <w:t xml:space="preserve">вересня </w:t>
      </w:r>
      <w:r>
        <w:rPr>
          <w:b w:val="false"/>
          <w:bCs w:val="false"/>
          <w:color w:val="auto"/>
          <w:sz w:val="28"/>
          <w:szCs w:val="28"/>
        </w:rPr>
        <w:t xml:space="preserve">2021 року № </w:t>
      </w:r>
      <w:r>
        <w:rPr>
          <w:b w:val="false"/>
          <w:bCs w:val="false"/>
          <w:color w:val="auto"/>
          <w:sz w:val="28"/>
          <w:szCs w:val="28"/>
          <w:lang w:val="en-US"/>
        </w:rPr>
        <w:t>659</w:t>
      </w:r>
      <w:bookmarkStart w:id="0" w:name="__DdeLink__6875_187969606"/>
      <w:r>
        <w:rPr>
          <w:b w:val="false"/>
          <w:bCs w:val="false"/>
          <w:color w:val="auto"/>
          <w:sz w:val="28"/>
          <w:szCs w:val="28"/>
        </w:rPr>
        <w:t>-12-VII</w:t>
      </w:r>
      <w:bookmarkEnd w:id="0"/>
      <w:r>
        <w:rPr>
          <w:b w:val="false"/>
          <w:bCs w:val="false"/>
          <w:color w:val="auto"/>
          <w:sz w:val="28"/>
          <w:szCs w:val="28"/>
        </w:rPr>
        <w:t xml:space="preserve">І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       </w:t>
      </w:r>
      <w:r>
        <w:rPr>
          <w:b w:val="false"/>
          <w:bCs w:val="false"/>
          <w:sz w:val="28"/>
          <w:szCs w:val="28"/>
        </w:rPr>
        <w:t>(12 позачергова сесія)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highlight w:val="red"/>
        </w:rPr>
      </w:pPr>
      <w:r>
        <w:rPr>
          <w:b/>
          <w:sz w:val="28"/>
          <w:szCs w:val="28"/>
          <w:highlight w:val="red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ПРОГРАМА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після проєктного моніторингу діяльності з ,,Розчистки ділянки р. Грузька Говтва біля села Прокопівка Решетилівського району Полтавської області </w:t>
      </w:r>
      <w:r>
        <w:rPr>
          <w:rFonts w:eastAsia="Times New Roman" w:cs="Times New Roman"/>
          <w:b/>
          <w:kern w:val="0"/>
          <w:sz w:val="30"/>
          <w:szCs w:val="30"/>
          <w:lang w:bidi="ar-SA"/>
        </w:rPr>
        <w:t xml:space="preserve"> на 2021-2023 роки</w:t>
      </w:r>
      <w:r>
        <w:rPr>
          <w:b/>
          <w:sz w:val="30"/>
          <w:szCs w:val="30"/>
        </w:rPr>
        <w:t>”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м. Решетилівка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2021 рік</w:t>
      </w:r>
    </w:p>
    <w:p>
      <w:pPr>
        <w:pStyle w:val="Normal"/>
        <w:ind w:left="0" w:righ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Зміст</w:t>
      </w:r>
    </w:p>
    <w:p>
      <w:pPr>
        <w:pStyle w:val="Normal"/>
        <w:ind w:left="0" w:right="0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Паспорт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І. Загальні положення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ІІ. Мета Програми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ІІІ. Основні заходи з реалізації Програми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IV. Очікувані результати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V. Фінансове забезпечення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VI. Координація та контроль за виконанням Програми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Програми</w:t>
      </w:r>
      <w:r>
        <w:rPr>
          <w:b/>
          <w:bCs/>
          <w:sz w:val="28"/>
          <w:szCs w:val="28"/>
        </w:rPr>
        <w:t xml:space="preserve"> після проєктного моніторингу діяльності з ,,Розчистки ділянки                     р. Грузька Говтва біля села Прокопівка Полтавського району Полтавської області”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Ініціатор розроблення програми: </w:t>
      </w:r>
      <w:r>
        <w:rPr>
          <w:rStyle w:val="Style15"/>
          <w:b w:val="false"/>
          <w:i/>
          <w:sz w:val="28"/>
          <w:szCs w:val="28"/>
          <w:u w:val="single"/>
        </w:rPr>
        <w:t>виконавчий комітет Решетилівської міської ради.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Дата, номер і назва розпорядчого документа про затвердження програми: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Решетилівської міської ради VIIІ скликання від  </w:t>
      </w:r>
      <w:r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>.09.2021 року                 №  -VII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 Розробник програми: </w:t>
      </w:r>
      <w:r>
        <w:rPr>
          <w:sz w:val="28"/>
          <w:szCs w:val="28"/>
          <w:u w:val="single"/>
        </w:rPr>
        <w:t>в</w:t>
      </w:r>
      <w:r>
        <w:rPr>
          <w:rStyle w:val="Style15"/>
          <w:rFonts w:cs="Calibri"/>
          <w:b w:val="false"/>
          <w:i/>
          <w:iCs/>
          <w:sz w:val="28"/>
          <w:szCs w:val="28"/>
          <w:u w:val="single"/>
        </w:rPr>
        <w:t>ідділ земельних ресурсів та охорони навколишнього середовища.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4. Відповідальний виконавець програми: </w:t>
      </w:r>
      <w:r>
        <w:rPr>
          <w:rStyle w:val="Style15"/>
          <w:b w:val="false"/>
          <w:i/>
          <w:sz w:val="28"/>
          <w:szCs w:val="28"/>
          <w:u w:val="single"/>
        </w:rPr>
        <w:t>в</w:t>
      </w:r>
      <w:r>
        <w:rPr>
          <w:rStyle w:val="Style15"/>
          <w:rFonts w:cs="Calibri"/>
          <w:b w:val="false"/>
          <w:i/>
          <w:iCs/>
          <w:sz w:val="28"/>
          <w:szCs w:val="28"/>
          <w:u w:val="single"/>
        </w:rPr>
        <w:t>ідділ земельних ресурсів та охорони навколишнього середовища.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5. Учасники програми: </w:t>
      </w:r>
      <w:r>
        <w:rPr>
          <w:i/>
          <w:iCs/>
          <w:sz w:val="28"/>
          <w:szCs w:val="28"/>
        </w:rPr>
        <w:t>в</w:t>
      </w:r>
      <w:r>
        <w:rPr>
          <w:rStyle w:val="Style15"/>
          <w:rFonts w:cs="Calibri"/>
          <w:b w:val="false"/>
          <w:i/>
          <w:iCs/>
          <w:color w:val="auto"/>
          <w:sz w:val="28"/>
          <w:szCs w:val="28"/>
          <w:u w:val="single"/>
          <w:lang w:eastAsia="ru-RU"/>
        </w:rPr>
        <w:t xml:space="preserve">ідділ архітектури та містобудування, відділ житлово-комунального господарства, транспорту, зв’язку та з питань охорони праці.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6.Термін реалізації програми: 3</w:t>
      </w:r>
      <w:r>
        <w:rPr>
          <w:i/>
          <w:sz w:val="28"/>
          <w:szCs w:val="28"/>
          <w:u w:val="single"/>
        </w:rPr>
        <w:t xml:space="preserve"> роки.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7.Обсяги та джерела фінансування: </w:t>
      </w:r>
      <w:r>
        <w:rPr>
          <w:i/>
          <w:sz w:val="28"/>
          <w:szCs w:val="28"/>
        </w:rPr>
        <w:t>будуть визначатися відповідно до затверджених бюджетом міста призначень на виконання програми.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10" w:type="dxa"/>
        <w:jc w:val="left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772"/>
        <w:gridCol w:w="1840"/>
        <w:gridCol w:w="1879"/>
        <w:gridCol w:w="1840"/>
        <w:gridCol w:w="2279"/>
      </w:tblGrid>
      <w:tr>
        <w:trPr>
          <w:trHeight w:val="150" w:hRule="atLeast"/>
          <w:cantSplit w:val="true"/>
        </w:trPr>
        <w:tc>
          <w:tcPr>
            <w:tcW w:w="1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фінансування, тис. грн.</w:t>
            </w:r>
          </w:p>
        </w:tc>
        <w:tc>
          <w:tcPr>
            <w:tcW w:w="59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роками, тис. грн.</w:t>
            </w:r>
          </w:p>
        </w:tc>
      </w:tr>
      <w:tr>
        <w:trPr>
          <w:trHeight w:val="699" w:hRule="atLeast"/>
          <w:cantSplit w:val="true"/>
        </w:trPr>
        <w:tc>
          <w:tcPr>
            <w:tcW w:w="17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63 </w:t>
            </w:r>
            <w:r>
              <w:rPr>
                <w:sz w:val="28"/>
                <w:szCs w:val="28"/>
                <w:lang w:val="uk-UA"/>
              </w:rPr>
              <w:t>тис. грн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21 </w:t>
            </w: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21 </w:t>
            </w: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21 </w:t>
            </w:r>
            <w:r>
              <w:rPr>
                <w:sz w:val="28"/>
                <w:szCs w:val="28"/>
              </w:rPr>
              <w:t>тис. грн.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Обласний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тис. грн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20 </w:t>
            </w: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20 </w:t>
            </w: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20 </w:t>
            </w:r>
            <w:r>
              <w:rPr>
                <w:sz w:val="28"/>
                <w:szCs w:val="28"/>
              </w:rPr>
              <w:t>тис. грн.</w:t>
            </w:r>
          </w:p>
        </w:tc>
      </w:tr>
    </w:tbl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bCs/>
          <w:sz w:val="28"/>
          <w:szCs w:val="28"/>
        </w:rPr>
        <w:t>І. Загальні положення</w:t>
      </w:r>
    </w:p>
    <w:p>
      <w:pPr>
        <w:pStyle w:val="Normal"/>
        <w:jc w:val="center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ab/>
        <w:t>Програма після проєктного моніторингу діяльності з ,,Розчистки ділянки р. Грузька Говтва біля села Прокопівка Полтавського району Полтавської області” (далі — Програма) розроблена на підставі Закону України ,,Про оцінку впливу на довкілля”, а також керуючись п. 22 ч. 1 статті 26 Закону України „Про місцеве самоврядування в Україні”. Основним завданням Програми є проведення моніторингу впливу на навколишнє середовище, під час проведення та після закінчення робіт з реалізації проєкту ,,Розчистка ділянки          р. Грузька Говтва біля села Прокопівка Полтавського району Полтавської області”.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bCs/>
          <w:sz w:val="28"/>
          <w:szCs w:val="28"/>
        </w:rPr>
        <w:t>ІІ. Мета Програми.</w:t>
      </w:r>
    </w:p>
    <w:p>
      <w:pPr>
        <w:pStyle w:val="Normal"/>
        <w:jc w:val="center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ab/>
        <w:t>Метою Програми є: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ab/>
        <w:t>- проведення лабораторних досліджень якості води на ділянці виконання робіт з реалізації проєкту;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ab/>
        <w:t>- проведення лабораторних досліджень якості ґрунту на ділянці виконання робіт з реалізації проекту;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ab/>
        <w:t>- проведення моніторингу впливу робіт з реалізації проєкту на стан водних та прибережних екосистем, що знаходяться на ділянці виконання та прилеглих до неї територій.</w:t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bCs/>
          <w:sz w:val="28"/>
          <w:szCs w:val="28"/>
        </w:rPr>
        <w:t>ІІІ. Основні заходи з реалізації Програми.</w:t>
      </w:r>
    </w:p>
    <w:p>
      <w:pPr>
        <w:pStyle w:val="Normal"/>
        <w:jc w:val="center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1. Визначення підрядних організацій на проведення лабораторних досліджень якості води, ґрунту та екологічну оцінку водних та прибережних екосистем на ділянці проведення робіт.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2. Проведення моніторингу якості води та ґрунту в сертифікованій лабораторії під час виконання робіт.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3. Проведення моніторингу якості води та ґрунту в сертифікованій лабораторії після закінчення робіт.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4. Проведення моніторингу впливу робіт з реалізації проєкту на стан водних та прибережних екосистем, що знаходяться на ділянці виконання робіт та прилеглих до неї територій.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bCs/>
          <w:sz w:val="28"/>
          <w:szCs w:val="28"/>
        </w:rPr>
        <w:t>IV. Очікувані результати.</w:t>
      </w:r>
    </w:p>
    <w:p>
      <w:pPr>
        <w:pStyle w:val="Normal"/>
        <w:jc w:val="center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Реалізація Програми після проєктного моніторингу діяльності з ,,Розчистки ділянки р. Грузька Говтва біля села Прокопівка Полтавського району Полтавської області” дасть змогу: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провести роботи з реалізації проєкту згідно норм чинного законодавства України;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покращити екологічний стан на ділянці р. Грузька Говтва після проведення робіт;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знизити ризики нанесення шкоди навколишньому середовищу на ділянці розчистки та прилеглих територій.</w:t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bCs/>
          <w:sz w:val="28"/>
          <w:szCs w:val="28"/>
        </w:rPr>
        <w:t>V. Фінансове забезпечення.</w:t>
      </w:r>
    </w:p>
    <w:p>
      <w:pPr>
        <w:pStyle w:val="Normal"/>
        <w:jc w:val="center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Style w:val="Style15"/>
          <w:b w:val="false"/>
          <w:sz w:val="28"/>
          <w:szCs w:val="28"/>
        </w:rPr>
        <w:t>Фінансування Програми здійснюється за рахунок коштів міського, бюджетів інших рівнів та інших коштів не заборонених законодавством.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927"/>
        <w:gridCol w:w="1928"/>
        <w:gridCol w:w="1919"/>
        <w:gridCol w:w="1925"/>
        <w:gridCol w:w="3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sz w:val="28"/>
                <w:szCs w:val="28"/>
              </w:rPr>
              <w:t xml:space="preserve">Пріоритетні 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Джерело фінансування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Орієнтовний обсяг фінансування, тис. грн.</w:t>
            </w:r>
          </w:p>
        </w:tc>
      </w:tr>
      <w:tr>
        <w:trPr/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підрядних організацій на проведення лабораторних досліджень якості води, ґрунту та екологічну оцінку водних та прибережних екосистем на ділянці проведення робіт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моніторингу якості води та ґрунту під час виконання робіт.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роки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sz w:val="28"/>
                <w:szCs w:val="28"/>
              </w:rPr>
              <w:t>Міський  бюджет</w:t>
            </w:r>
          </w:p>
        </w:tc>
        <w:tc>
          <w:tcPr>
            <w:tcW w:w="19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тис. грн.</w:t>
            </w:r>
          </w:p>
        </w:tc>
      </w:tr>
      <w:tr>
        <w:trPr/>
        <w:tc>
          <w:tcPr>
            <w:tcW w:w="192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моніторингу впливу робіт з реалізації проєкту на стан водних та прибережних екосистем, що знаходяться на ділянці виконання робіт  та прилеглих до неї територій.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роки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9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тис. грн.</w:t>
            </w:r>
          </w:p>
        </w:tc>
      </w:tr>
      <w:tr>
        <w:trPr/>
        <w:tc>
          <w:tcPr>
            <w:tcW w:w="7702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тис. грн.</w:t>
            </w:r>
          </w:p>
        </w:tc>
      </w:tr>
    </w:tbl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Style w:val="Style15"/>
          <w:bCs/>
          <w:sz w:val="28"/>
          <w:szCs w:val="28"/>
        </w:rPr>
        <w:t>VІ. Координація та контроль за виконанням Програми.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ab/>
        <w:t>Координація та контроль Програми покладається на в</w:t>
      </w:r>
      <w:r>
        <w:rPr>
          <w:rStyle w:val="Style15"/>
          <w:rFonts w:cs="Calibri"/>
          <w:b w:val="false"/>
          <w:sz w:val="28"/>
          <w:szCs w:val="28"/>
        </w:rPr>
        <w:t>ідділ земельних ресурсів та охорони навколишнього середовища.</w:t>
      </w:r>
    </w:p>
    <w:p>
      <w:pPr>
        <w:pStyle w:val="Normal"/>
        <w:jc w:val="both"/>
        <w:rPr/>
      </w:pPr>
      <w:r>
        <w:rPr>
          <w:rStyle w:val="Style15"/>
          <w:rFonts w:cs="Calibri"/>
          <w:b w:val="false"/>
          <w:sz w:val="28"/>
          <w:szCs w:val="28"/>
        </w:rPr>
        <w:t>З цією метою будуть забезпечені такі заходи:</w:t>
      </w:r>
    </w:p>
    <w:p>
      <w:pPr>
        <w:pStyle w:val="Normal"/>
        <w:jc w:val="both"/>
        <w:rPr/>
      </w:pPr>
      <w:r>
        <w:rPr>
          <w:rStyle w:val="Style15"/>
          <w:rFonts w:cs="Calibri"/>
          <w:b w:val="false"/>
          <w:sz w:val="28"/>
          <w:szCs w:val="28"/>
        </w:rPr>
        <w:t>- здійснення загального координування роботи з виконання заходів передбачених Програмою;</w:t>
      </w:r>
    </w:p>
    <w:p>
      <w:pPr>
        <w:pStyle w:val="Normal"/>
        <w:jc w:val="both"/>
        <w:rPr/>
      </w:pPr>
      <w:r>
        <w:rPr>
          <w:rStyle w:val="Style15"/>
          <w:rFonts w:cs="Calibri"/>
          <w:b w:val="false"/>
          <w:sz w:val="28"/>
          <w:szCs w:val="28"/>
        </w:rPr>
        <w:t>- інформування департаменту екології та природних ресурсів Полтавської ОДА про виконання Програми;</w:t>
      </w:r>
    </w:p>
    <w:p>
      <w:pPr>
        <w:pStyle w:val="Normal"/>
        <w:jc w:val="both"/>
        <w:rPr/>
      </w:pPr>
      <w:r>
        <w:rPr>
          <w:rStyle w:val="Style15"/>
          <w:rFonts w:cs="Calibri"/>
          <w:b w:val="false"/>
          <w:sz w:val="28"/>
          <w:szCs w:val="28"/>
        </w:rPr>
        <w:t>- підготовка проєктів відповідних документів для сприятливих умов реалізації Програми;</w:t>
      </w:r>
    </w:p>
    <w:p>
      <w:pPr>
        <w:pStyle w:val="Normal"/>
        <w:jc w:val="both"/>
        <w:rPr/>
      </w:pPr>
      <w:r>
        <w:rPr>
          <w:rStyle w:val="Style15"/>
          <w:rFonts w:cs="Calibri"/>
          <w:b w:val="false"/>
          <w:sz w:val="28"/>
          <w:szCs w:val="28"/>
        </w:rPr>
        <w:t>- періодичне інформування населення про виконання Програми в засобах масової інформації.</w:t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Style w:val="Style15"/>
          <w:rFonts w:cs="Calibri"/>
          <w:b w:val="false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>
          <w:rStyle w:val="Style15"/>
          <w:rFonts w:cs="Calibri"/>
          <w:b w:val="false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Додаток</w:t>
      </w:r>
    </w:p>
    <w:p>
      <w:pPr>
        <w:pStyle w:val="Normal"/>
        <w:rPr/>
      </w:pPr>
      <w:r>
        <w:rPr>
          <w:rStyle w:val="Style15"/>
          <w:rFonts w:cs="Calibri"/>
          <w:b w:val="false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Style w:val="Style15"/>
          <w:rFonts w:cs="Calibri"/>
          <w:b w:val="false"/>
          <w:sz w:val="28"/>
          <w:szCs w:val="28"/>
        </w:rPr>
        <w:t>до Програми</w:t>
      </w:r>
    </w:p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rFonts w:cs="Calibri"/>
          <w:b w:val="false"/>
          <w:sz w:val="28"/>
          <w:szCs w:val="28"/>
        </w:rPr>
        <w:t xml:space="preserve">План </w:t>
      </w:r>
    </w:p>
    <w:p>
      <w:pPr>
        <w:pStyle w:val="Normal"/>
        <w:jc w:val="center"/>
        <w:rPr/>
      </w:pPr>
      <w:r>
        <w:rPr>
          <w:rStyle w:val="Style15"/>
          <w:rFonts w:cs="Calibri"/>
          <w:b w:val="false"/>
          <w:sz w:val="28"/>
          <w:szCs w:val="28"/>
        </w:rPr>
        <w:t xml:space="preserve">проведення </w:t>
      </w:r>
      <w:r>
        <w:rPr>
          <w:rStyle w:val="Style15"/>
          <w:b w:val="false"/>
          <w:sz w:val="28"/>
          <w:szCs w:val="28"/>
        </w:rPr>
        <w:t>після проєктного моніторингу діяльності з ,,Розчистки ділянки              р. Грузька Говтва біля села Прокопівка Полтавского району Полтавської області”</w:t>
      </w:r>
    </w:p>
    <w:p>
      <w:pPr>
        <w:pStyle w:val="Normal"/>
        <w:jc w:val="center"/>
        <w:rPr>
          <w:rStyle w:val="Style15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8"/>
        <w:gridCol w:w="2906"/>
        <w:gridCol w:w="1584"/>
        <w:gridCol w:w="2570"/>
        <w:gridCol w:w="2097"/>
      </w:tblGrid>
      <w:tr>
        <w:trPr/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проведення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проведення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Підрядна організація</w:t>
            </w:r>
          </w:p>
        </w:tc>
      </w:tr>
      <w:tr>
        <w:trPr/>
        <w:tc>
          <w:tcPr>
            <w:tcW w:w="4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аналізу води на ділянці розчистки, під час проведення робіт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2021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2022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Регіональний офіс водних ресурсів у Полтавській області</w:t>
            </w:r>
          </w:p>
        </w:tc>
      </w:tr>
      <w:tr>
        <w:trPr/>
        <w:tc>
          <w:tcPr>
            <w:tcW w:w="4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аналізу ґрунту на ділянці розчистки, під час проведення робіт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2021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2022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Регіональний офіс водних ресурсів у Полтавській області</w:t>
            </w:r>
          </w:p>
        </w:tc>
      </w:tr>
      <w:tr>
        <w:trPr/>
        <w:tc>
          <w:tcPr>
            <w:tcW w:w="4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аналізу води на ділянці розчистки, після проведення робіт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2021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2022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Регіональний офіс водних ресурсів у Полтавській області</w:t>
            </w:r>
          </w:p>
        </w:tc>
      </w:tr>
      <w:tr>
        <w:trPr/>
        <w:tc>
          <w:tcPr>
            <w:tcW w:w="4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аналізу ґрунту на ділянці розчистки, після проведення робіт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2021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2022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Регіональний офіс водних ресурсів у Полтавській області</w:t>
            </w:r>
          </w:p>
        </w:tc>
      </w:tr>
      <w:tr>
        <w:trPr/>
        <w:tc>
          <w:tcPr>
            <w:tcW w:w="4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моніторингу впливу на біологічне різноманіття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Серпень- Листопад 2021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Серпень- Листопад 2022</w:t>
            </w:r>
          </w:p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Серпень- Листопад 2023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Регіональний офіс водних ресурсів у Полтавській області</w:t>
            </w:r>
          </w:p>
        </w:tc>
      </w:tr>
    </w:tbl>
    <w:p>
      <w:pPr>
        <w:pStyle w:val="Normal"/>
        <w:rPr>
          <w:rStyle w:val="Style15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Начальник відділу земельних ресурсів </w:t>
      </w:r>
    </w:p>
    <w:p>
      <w:pPr>
        <w:pStyle w:val="Normal"/>
        <w:rPr/>
      </w:pPr>
      <w:r>
        <w:rPr>
          <w:sz w:val="28"/>
          <w:szCs w:val="28"/>
        </w:rPr>
        <w:t>та охорони навколишнього середовища</w:t>
        <w:tab/>
        <w:tab/>
        <w:tab/>
        <w:tab/>
        <w:tab/>
        <w:t>І.О.Прудка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d6723d"/>
    <w:rPr>
      <w:b/>
      <w:bCs/>
    </w:rPr>
  </w:style>
  <w:style w:type="character" w:styleId="Style15" w:customStyle="1">
    <w:name w:val="Виділення жирним"/>
    <w:qFormat/>
    <w:rPr>
      <w:b/>
      <w:bCs/>
    </w:rPr>
  </w:style>
  <w:style w:type="character" w:styleId="Style16" w:customStyle="1">
    <w:name w:val="Шрифт абзацу за промовчанням"/>
    <w:qFormat/>
    <w:rPr/>
  </w:style>
  <w:style w:type="character" w:styleId="Style17" w:customStyle="1">
    <w:name w:val="Виділення"/>
    <w:qFormat/>
    <w:rPr>
      <w:i/>
      <w:iCs/>
    </w:rPr>
  </w:style>
  <w:style w:type="character" w:styleId="Style18">
    <w:name w:val="Маркери списку"/>
    <w:qFormat/>
    <w:rPr>
      <w:rFonts w:ascii="OpenSymbol" w:hAnsi="OpenSymbol" w:eastAsia="OpenSymbol" w:cs="OpenSymbol"/>
    </w:rPr>
  </w:style>
  <w:style w:type="character" w:styleId="Style19">
    <w:name w:val="Верхний колонтитул Знак"/>
    <w:basedOn w:val="DefaultParagraphFont"/>
    <w:qFormat/>
    <w:rPr>
      <w:rFonts w:eastAsia="Times New Roman" w:cs="Times New Roman"/>
      <w:color w:val="00000A"/>
      <w:sz w:val="28"/>
      <w:szCs w:val="26"/>
      <w:lang w:val="uk-UA" w:eastAsia="zh-CN"/>
    </w:rPr>
  </w:style>
  <w:style w:type="character" w:styleId="Style20">
    <w:name w:val="Текст выноски Знак"/>
    <w:basedOn w:val="DefaultParagraphFont"/>
    <w:qFormat/>
    <w:rPr>
      <w:rFonts w:eastAsia="Times New Roman" w:cs="Times New Roman"/>
      <w:color w:val="00000A"/>
      <w:sz w:val="2"/>
      <w:szCs w:val="2"/>
      <w:lang w:val="uk-UA" w:eastAsia="zh-CN"/>
    </w:rPr>
  </w:style>
  <w:style w:type="character" w:styleId="Style21">
    <w:name w:val="Основной текст Знак"/>
    <w:basedOn w:val="DefaultParagraphFont"/>
    <w:qFormat/>
    <w:rPr>
      <w:rFonts w:eastAsia="Times New Roman" w:cs="Times New Roman"/>
      <w:color w:val="00000A"/>
      <w:sz w:val="28"/>
      <w:szCs w:val="26"/>
      <w:lang w:val="uk-UA" w:eastAsia="zh-CN"/>
    </w:rPr>
  </w:style>
  <w:style w:type="character" w:styleId="Style22">
    <w:name w:val="Символ нумерації"/>
    <w:qFormat/>
    <w:rPr/>
  </w:style>
  <w:style w:type="character" w:styleId="WW8Num1z3">
    <w:name w:val="WW8Num1z3"/>
    <w:qFormat/>
    <w:rPr>
      <w:rFonts w:ascii="Symbol" w:hAnsi="Symbol"/>
    </w:rPr>
  </w:style>
  <w:style w:type="character" w:styleId="WW8Num1z2">
    <w:name w:val="WW8Num1z2"/>
    <w:qFormat/>
    <w:rPr>
      <w:rFonts w:ascii="Wingdings" w:hAnsi="Wingdings"/>
    </w:rPr>
  </w:style>
  <w:style w:type="character" w:styleId="WW8Num1z1">
    <w:name w:val="WW8Num1z1"/>
    <w:qFormat/>
    <w:rPr>
      <w:rFonts w:ascii="Courier New" w:hAnsi="Courier New"/>
    </w:rPr>
  </w:style>
  <w:style w:type="character" w:styleId="WW8Num1z0">
    <w:name w:val="WW8Num1z0"/>
    <w:qFormat/>
    <w:rPr>
      <w:rFonts w:ascii="Times New Roman" w:hAnsi="Times New Roman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/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4"/>
    <w:qFormat/>
    <w:pPr>
      <w:keepNext w:val="true"/>
      <w:spacing w:before="240" w:after="120"/>
    </w:pPr>
    <w:rPr>
      <w:rFonts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8" w:customStyle="1">
    <w:name w:val="Покажчик"/>
    <w:basedOn w:val="Normal"/>
    <w:qFormat/>
    <w:pPr>
      <w:suppressLineNumbers/>
    </w:pPr>
    <w:rPr/>
  </w:style>
  <w:style w:type="paragraph" w:styleId="Style29">
    <w:name w:val="Title"/>
    <w:basedOn w:val="Normal"/>
    <w:next w:val="Style24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paragraph" w:styleId="Style31" w:customStyle="1">
    <w:name w:val="Заголовок таблиці"/>
    <w:basedOn w:val="Style30"/>
    <w:qFormat/>
    <w:pPr>
      <w:jc w:val="center"/>
    </w:pPr>
    <w:rPr>
      <w:b/>
      <w:bCs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pPr/>
    <w:rPr/>
  </w:style>
  <w:style w:type="paragraph" w:styleId="Style34">
    <w:name w:val="Верхній і нижній колонтитули"/>
    <w:basedOn w:val="Normal"/>
    <w:qFormat/>
    <w:pPr/>
    <w:rPr/>
  </w:style>
  <w:style w:type="paragraph" w:styleId="Toaheading">
    <w:name w:val="toa heading"/>
    <w:basedOn w:val="1"/>
    <w:qFormat/>
    <w:pPr/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0"/>
      <w:kern w:val="2"/>
      <w:sz w:val="24"/>
      <w:szCs w:val="24"/>
      <w:lang w:val="uk-UA" w:eastAsia="zh-CN" w:bidi="hi-IN"/>
    </w:rPr>
  </w:style>
  <w:style w:type="paragraph" w:styleId="11">
    <w:name w:val="Верхний колонтитул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LibreOffice/6.1.0.3$Windows_X86_64 LibreOffice_project/efb621ed25068d70781dc026f7e9c5187a4decd1</Application>
  <Pages>7</Pages>
  <Words>930</Words>
  <Characters>6092</Characters>
  <CharactersWithSpaces>8387</CharactersWithSpaces>
  <Paragraphs>147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2021-09-21T10:25:00Z</dcterms:created>
  <dc:creator>Elvina</dc:creator>
  <dc:description/>
  <dc:language>uk-UA</dc:language>
  <cp:lastModifiedBy/>
  <cp:lastPrinted>2021-10-04T13:32:07Z</cp:lastPrinted>
  <dcterms:modified xsi:type="dcterms:W3CDTF">2021-10-04T13:32:54Z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