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22 жовтня  2021 року                                                                     № </w:t>
      </w:r>
      <w:r>
        <w:rPr>
          <w:bCs/>
          <w:lang w:val="uk-UA"/>
        </w:rPr>
        <w:t>741</w:t>
      </w:r>
      <w:r>
        <w:rPr>
          <w:bCs/>
          <w:lang w:val="uk-UA"/>
        </w:rPr>
        <w:t>-</w:t>
      </w:r>
      <w:r>
        <w:rPr>
          <w:bCs/>
          <w:color w:val="000000"/>
          <w:lang w:val="uk-UA"/>
        </w:rPr>
        <w:t xml:space="preserve"> 13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передачу Яременку Г.А. </w:t>
      </w:r>
    </w:p>
    <w:p>
      <w:pPr>
        <w:pStyle w:val="Normal"/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оренду земельної ділянки </w:t>
      </w:r>
    </w:p>
    <w:p>
      <w:pPr>
        <w:pStyle w:val="Normal"/>
        <w:ind w:right="282" w:hanging="0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по вул. Покровська, 71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                  „ 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  розглянувши клопотання Яременка Г.А., відповідно права власності на об’єкт нерухомого майна, що знаходиться на земельній ділянці,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Передати Яременку Григорію Андрійовичу в оренду строком на 5 (п</w:t>
      </w:r>
      <w:r>
        <w:rPr>
          <w:sz w:val="28"/>
          <w:szCs w:val="28"/>
        </w:rPr>
        <w:t>’ять</w:t>
      </w:r>
      <w:r>
        <w:rPr>
          <w:sz w:val="28"/>
          <w:szCs w:val="28"/>
          <w:lang w:val="uk-UA"/>
        </w:rPr>
        <w:t>) років земельну ділянку за адресою м.Решетилівка, вул.</w:t>
      </w:r>
      <w:bookmarkStart w:id="0" w:name="_GoBack"/>
      <w:bookmarkEnd w:id="0"/>
      <w:r>
        <w:rPr>
          <w:sz w:val="28"/>
          <w:szCs w:val="28"/>
          <w:lang w:val="uk-UA"/>
        </w:rPr>
        <w:t xml:space="preserve">Покровська, 71 загальною площею 0,2650 га (кадастровий номер 5324255100:30:003:0282) для будівництва і обслуговування будівель торгівлі (код КВЦПЗ – 03.07)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розмір орендної плати на рівні 3 %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Уповноважити міського голову Дядюнову О.А. підписати договір оренди землі з Яременком Григорієм Андрійовичем.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0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LibreOffice/6.3.1.2$Windows_X86_64 LibreOffice_project/b79626edf0065ac373bd1df5c28bd630b4424273</Application>
  <Pages>1</Pages>
  <Words>192</Words>
  <Characters>1321</Characters>
  <CharactersWithSpaces>1644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2021-09-15T05:51:00Z</cp:lastPrinted>
  <dcterms:modified xsi:type="dcterms:W3CDTF">2021-10-23T12:21:32Z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