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B7" w:rsidRDefault="00F869DB">
      <w:pPr>
        <w:tabs>
          <w:tab w:val="left" w:pos="4111"/>
        </w:tabs>
        <w:rPr>
          <w:b/>
          <w:sz w:val="12"/>
          <w:szCs w:val="12"/>
          <w:lang w:eastAsia="uk-UA"/>
        </w:rPr>
      </w:pPr>
      <w:r>
        <w:rPr>
          <w:b/>
          <w:noProof/>
          <w:sz w:val="12"/>
          <w:szCs w:val="12"/>
          <w:lang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-264160</wp:posOffset>
            </wp:positionV>
            <wp:extent cx="514985" cy="7296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629" t="-1860" r="-2629" b="-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2B7" w:rsidRDefault="00F869DB">
      <w:pPr>
        <w:jc w:val="center"/>
      </w:pPr>
      <w:r>
        <w:rPr>
          <w:b/>
          <w:szCs w:val="28"/>
        </w:rPr>
        <w:t>РЕШЕТИЛІВСЬКА МІСЬКА РАДА</w:t>
      </w:r>
    </w:p>
    <w:p w:rsidR="006362B7" w:rsidRDefault="00F869DB">
      <w:pPr>
        <w:jc w:val="center"/>
      </w:pPr>
      <w:r>
        <w:rPr>
          <w:b/>
          <w:szCs w:val="28"/>
        </w:rPr>
        <w:t>ПОЛТАВСЬКОЇ ОБЛАСТІ</w:t>
      </w:r>
    </w:p>
    <w:p w:rsidR="006362B7" w:rsidRDefault="00F869DB">
      <w:pPr>
        <w:jc w:val="center"/>
      </w:pPr>
      <w:r>
        <w:rPr>
          <w:b/>
          <w:szCs w:val="28"/>
        </w:rPr>
        <w:t>(сорок сьома позачергова сесія восьмого скликання)</w:t>
      </w:r>
    </w:p>
    <w:p w:rsidR="006362B7" w:rsidRDefault="006362B7">
      <w:pPr>
        <w:jc w:val="center"/>
        <w:rPr>
          <w:b/>
          <w:szCs w:val="28"/>
        </w:rPr>
      </w:pPr>
    </w:p>
    <w:p w:rsidR="006362B7" w:rsidRDefault="00F869DB">
      <w:pPr>
        <w:jc w:val="center"/>
      </w:pPr>
      <w:r>
        <w:rPr>
          <w:b/>
          <w:szCs w:val="28"/>
        </w:rPr>
        <w:t>РІШЕННЯ</w:t>
      </w:r>
    </w:p>
    <w:p w:rsidR="006362B7" w:rsidRDefault="006362B7">
      <w:pPr>
        <w:jc w:val="both"/>
        <w:rPr>
          <w:szCs w:val="28"/>
        </w:rPr>
      </w:pPr>
    </w:p>
    <w:p w:rsidR="006362B7" w:rsidRDefault="00F869DB">
      <w:r>
        <w:rPr>
          <w:bCs/>
          <w:szCs w:val="28"/>
        </w:rPr>
        <w:t xml:space="preserve">31 липня 2024 року                 </w:t>
      </w:r>
      <w:r w:rsidR="00501016">
        <w:rPr>
          <w:bCs/>
          <w:szCs w:val="28"/>
        </w:rPr>
        <w:t xml:space="preserve">  </w:t>
      </w:r>
      <w:r>
        <w:rPr>
          <w:bCs/>
          <w:szCs w:val="28"/>
        </w:rPr>
        <w:t xml:space="preserve">    м. Решетилівка       </w:t>
      </w:r>
      <w:r w:rsidR="00501016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         № </w:t>
      </w:r>
      <w:r w:rsidR="00501016">
        <w:rPr>
          <w:bCs/>
          <w:szCs w:val="28"/>
        </w:rPr>
        <w:t>1930</w:t>
      </w:r>
      <w:r>
        <w:rPr>
          <w:bCs/>
          <w:szCs w:val="28"/>
          <w:highlight w:val="white"/>
        </w:rPr>
        <w:t>-</w:t>
      </w:r>
      <w:r>
        <w:rPr>
          <w:bCs/>
          <w:szCs w:val="28"/>
        </w:rPr>
        <w:t>47-</w:t>
      </w:r>
      <w:r>
        <w:rPr>
          <w:szCs w:val="28"/>
        </w:rPr>
        <w:t>VIIІ</w:t>
      </w:r>
    </w:p>
    <w:p w:rsidR="006362B7" w:rsidRDefault="006362B7">
      <w:pPr>
        <w:rPr>
          <w:szCs w:val="28"/>
        </w:rPr>
      </w:pPr>
    </w:p>
    <w:p w:rsidR="006362B7" w:rsidRDefault="00F869DB">
      <w:pPr>
        <w:jc w:val="both"/>
        <w:rPr>
          <w:szCs w:val="28"/>
        </w:rPr>
      </w:pPr>
      <w:r>
        <w:rPr>
          <w:szCs w:val="28"/>
        </w:rPr>
        <w:t xml:space="preserve">Про затвердження Програми сприяння </w:t>
      </w:r>
      <w:r w:rsidR="00FF3C6C">
        <w:rPr>
          <w:szCs w:val="28"/>
        </w:rPr>
        <w:t>У</w:t>
      </w:r>
      <w:r>
        <w:rPr>
          <w:szCs w:val="28"/>
        </w:rPr>
        <w:t>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</w:t>
      </w:r>
      <w:r w:rsidR="00D10BDC">
        <w:rPr>
          <w:szCs w:val="28"/>
        </w:rPr>
        <w:t>к</w:t>
      </w:r>
    </w:p>
    <w:p w:rsidR="006362B7" w:rsidRDefault="006362B7">
      <w:pPr>
        <w:rPr>
          <w:szCs w:val="28"/>
        </w:rPr>
      </w:pPr>
    </w:p>
    <w:p w:rsidR="006362B7" w:rsidRDefault="00F869DB" w:rsidP="00D10BDC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Керуючись ст.</w:t>
      </w:r>
      <w:r w:rsidR="00CB63C4">
        <w:rPr>
          <w:color w:val="FFFFFF" w:themeColor="background1"/>
          <w:szCs w:val="28"/>
        </w:rPr>
        <w:t xml:space="preserve"> </w:t>
      </w:r>
      <w:r>
        <w:rPr>
          <w:szCs w:val="28"/>
        </w:rPr>
        <w:t>85, 91 Бюджет</w:t>
      </w:r>
      <w:r w:rsidR="00CB63C4">
        <w:rPr>
          <w:szCs w:val="28"/>
        </w:rPr>
        <w:t>ного кодексу України, ст. 26</w:t>
      </w:r>
      <w:r w:rsidR="00FF3C6C">
        <w:rPr>
          <w:szCs w:val="28"/>
        </w:rPr>
        <w:t>, 65 Закону України ,,</w:t>
      </w:r>
      <w:r>
        <w:rPr>
          <w:szCs w:val="28"/>
        </w:rPr>
        <w:t>Про м</w:t>
      </w:r>
      <w:r w:rsidR="00FF3C6C">
        <w:rPr>
          <w:szCs w:val="28"/>
        </w:rPr>
        <w:t>ісцеве самоврядування в Україні</w:t>
      </w:r>
      <w:r w:rsidR="00FF3C6C" w:rsidRPr="00FF3C6C">
        <w:rPr>
          <w:szCs w:val="28"/>
        </w:rPr>
        <w:t>”</w:t>
      </w:r>
      <w:r>
        <w:rPr>
          <w:szCs w:val="28"/>
        </w:rPr>
        <w:t>, розглянувши звернення Управління Державної казначейської служби України у Решетилівському районі від 20.03.2024 № 01-21-10/115, враховуючи ряд нагальних організаційних, фінансових, матеріально-технічних проблем, які потребують невідкладного розв’язання та з метою покращення умов обслуговування розпорядників та одержувачів бюджетних коштів, Решетилівська міська рада</w:t>
      </w:r>
    </w:p>
    <w:p w:rsidR="006362B7" w:rsidRDefault="00F869DB">
      <w:pPr>
        <w:jc w:val="both"/>
        <w:rPr>
          <w:b/>
          <w:szCs w:val="28"/>
        </w:rPr>
      </w:pPr>
      <w:r>
        <w:rPr>
          <w:b/>
          <w:szCs w:val="28"/>
        </w:rPr>
        <w:t>ВИРІШИЛА:</w:t>
      </w:r>
    </w:p>
    <w:p w:rsidR="006362B7" w:rsidRDefault="006362B7">
      <w:pPr>
        <w:jc w:val="both"/>
      </w:pPr>
    </w:p>
    <w:p w:rsidR="006362B7" w:rsidRDefault="00F869DB" w:rsidP="00D10BDC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FF3C6C">
        <w:rPr>
          <w:szCs w:val="28"/>
        </w:rPr>
        <w:t>1.</w:t>
      </w:r>
      <w:r w:rsidR="00D10BDC">
        <w:rPr>
          <w:szCs w:val="28"/>
        </w:rPr>
        <w:t xml:space="preserve"> </w:t>
      </w:r>
      <w:r w:rsidR="00FF3C6C">
        <w:rPr>
          <w:szCs w:val="28"/>
        </w:rPr>
        <w:t>Затвердити Програму сприяння У</w:t>
      </w:r>
      <w:r>
        <w:rPr>
          <w:szCs w:val="28"/>
        </w:rPr>
        <w:t>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 (додається).</w:t>
      </w:r>
    </w:p>
    <w:p w:rsidR="006362B7" w:rsidRDefault="00F869DB" w:rsidP="00D10BDC">
      <w:pPr>
        <w:tabs>
          <w:tab w:val="left" w:pos="567"/>
        </w:tabs>
        <w:spacing w:line="240" w:lineRule="atLeast"/>
        <w:jc w:val="both"/>
        <w:rPr>
          <w:szCs w:val="28"/>
        </w:rPr>
      </w:pPr>
      <w:r>
        <w:rPr>
          <w:szCs w:val="28"/>
        </w:rPr>
        <w:tab/>
        <w:t>2.</w:t>
      </w:r>
      <w:r w:rsidR="00D10BDC">
        <w:rPr>
          <w:szCs w:val="28"/>
        </w:rPr>
        <w:t xml:space="preserve"> </w:t>
      </w:r>
      <w:r>
        <w:rPr>
          <w:szCs w:val="28"/>
        </w:rPr>
        <w:t xml:space="preserve">Контроль за виконанням даного рішення покласти на постійну комісію міської ради з </w:t>
      </w:r>
      <w:r>
        <w:rPr>
          <w:rFonts w:eastAsia="Calibri"/>
          <w:bCs/>
          <w:color w:val="000000"/>
          <w:szCs w:val="28"/>
          <w:highlight w:val="white"/>
        </w:rPr>
        <w:t>питань бюджету, фінансів, планування соціально-економічного розвитку, цін, розвитку підприємництва (Оренбургська Ольга)</w:t>
      </w:r>
      <w:r>
        <w:rPr>
          <w:rFonts w:eastAsia="Calibri"/>
          <w:bCs/>
          <w:color w:val="000000"/>
          <w:szCs w:val="28"/>
        </w:rPr>
        <w:t>.</w:t>
      </w:r>
    </w:p>
    <w:p w:rsidR="006362B7" w:rsidRDefault="006362B7">
      <w:pPr>
        <w:tabs>
          <w:tab w:val="left" w:pos="6521"/>
        </w:tabs>
        <w:jc w:val="both"/>
        <w:rPr>
          <w:szCs w:val="28"/>
        </w:rPr>
      </w:pPr>
    </w:p>
    <w:p w:rsidR="006362B7" w:rsidRDefault="006362B7">
      <w:pPr>
        <w:jc w:val="both"/>
        <w:rPr>
          <w:szCs w:val="28"/>
        </w:rPr>
      </w:pPr>
    </w:p>
    <w:p w:rsidR="006362B7" w:rsidRDefault="006362B7">
      <w:pPr>
        <w:jc w:val="both"/>
        <w:rPr>
          <w:szCs w:val="28"/>
        </w:rPr>
      </w:pPr>
    </w:p>
    <w:p w:rsidR="006362B7" w:rsidRDefault="006362B7">
      <w:pPr>
        <w:jc w:val="both"/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F869DB">
      <w:r>
        <w:t>Міський голова                                                                      Оксана ДЯДЮНОВА</w:t>
      </w:r>
    </w:p>
    <w:p w:rsidR="006362B7" w:rsidRDefault="00F869DB">
      <w:pPr>
        <w:ind w:left="5670"/>
        <w:contextualSpacing/>
        <w:rPr>
          <w:szCs w:val="28"/>
        </w:rPr>
        <w:sectPr w:rsidR="006362B7">
          <w:pgSz w:w="11906" w:h="16838"/>
          <w:pgMar w:top="567" w:right="567" w:bottom="96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b/>
          <w:szCs w:val="28"/>
        </w:rPr>
        <w:t xml:space="preserve">           </w:t>
      </w:r>
    </w:p>
    <w:p w:rsidR="006362B7" w:rsidRDefault="00F869DB">
      <w:pPr>
        <w:snapToGrid/>
        <w:rPr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</w:t>
      </w:r>
      <w:r>
        <w:rPr>
          <w:b/>
          <w:szCs w:val="28"/>
          <w:lang w:val="ru-RU"/>
        </w:rPr>
        <w:t xml:space="preserve">         </w:t>
      </w:r>
      <w:r>
        <w:rPr>
          <w:szCs w:val="28"/>
        </w:rPr>
        <w:t>ЗАТВЕРДЖЕНО</w:t>
      </w:r>
    </w:p>
    <w:p w:rsidR="006362B7" w:rsidRDefault="00F869DB">
      <w:pPr>
        <w:ind w:left="5670"/>
        <w:contextualSpacing/>
        <w:rPr>
          <w:szCs w:val="28"/>
        </w:rPr>
      </w:pPr>
      <w:r>
        <w:rPr>
          <w:szCs w:val="28"/>
        </w:rPr>
        <w:t>рішення Решетилівської міської ради</w:t>
      </w:r>
      <w:r w:rsidR="00D10BDC">
        <w:rPr>
          <w:szCs w:val="28"/>
        </w:rPr>
        <w:t xml:space="preserve"> </w:t>
      </w:r>
      <w:r>
        <w:rPr>
          <w:szCs w:val="28"/>
        </w:rPr>
        <w:t>восьмого скликання</w:t>
      </w:r>
    </w:p>
    <w:p w:rsidR="00D10BDC" w:rsidRDefault="00F869DB">
      <w:pPr>
        <w:ind w:left="4956" w:firstLine="708"/>
        <w:jc w:val="both"/>
        <w:rPr>
          <w:szCs w:val="28"/>
        </w:rPr>
      </w:pPr>
      <w:r>
        <w:rPr>
          <w:szCs w:val="28"/>
        </w:rPr>
        <w:t>31 липня 2024 р</w:t>
      </w:r>
      <w:r w:rsidR="00D10BDC">
        <w:rPr>
          <w:szCs w:val="28"/>
        </w:rPr>
        <w:t>оку</w:t>
      </w:r>
    </w:p>
    <w:p w:rsidR="00D10BDC" w:rsidRDefault="00F869DB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№ </w:t>
      </w:r>
      <w:r w:rsidR="00501016">
        <w:rPr>
          <w:szCs w:val="28"/>
        </w:rPr>
        <w:t>1930</w:t>
      </w:r>
      <w:bookmarkStart w:id="0" w:name="_GoBack"/>
      <w:bookmarkEnd w:id="0"/>
      <w:r>
        <w:rPr>
          <w:szCs w:val="28"/>
        </w:rPr>
        <w:t>-47-VIII</w:t>
      </w:r>
    </w:p>
    <w:p w:rsidR="006362B7" w:rsidRDefault="00D10BDC">
      <w:pPr>
        <w:ind w:left="4956" w:firstLine="708"/>
        <w:jc w:val="both"/>
      </w:pPr>
      <w:r>
        <w:rPr>
          <w:szCs w:val="28"/>
        </w:rPr>
        <w:t>(47 позачергова сесія)</w:t>
      </w:r>
      <w:r w:rsidR="00F869DB">
        <w:rPr>
          <w:b/>
          <w:szCs w:val="28"/>
        </w:rPr>
        <w:t xml:space="preserve">                                                       </w:t>
      </w:r>
    </w:p>
    <w:p w:rsidR="006362B7" w:rsidRDefault="006362B7"/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jc w:val="center"/>
        <w:rPr>
          <w:b/>
          <w:szCs w:val="28"/>
          <w:highlight w:val="red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 w:val="36"/>
          <w:szCs w:val="36"/>
        </w:rPr>
      </w:pPr>
    </w:p>
    <w:p w:rsidR="006362B7" w:rsidRDefault="00F869DB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ПРОГРАМА</w:t>
      </w:r>
    </w:p>
    <w:p w:rsidR="006362B7" w:rsidRDefault="006362B7">
      <w:pPr>
        <w:jc w:val="center"/>
        <w:rPr>
          <w:b/>
        </w:rPr>
      </w:pPr>
    </w:p>
    <w:p w:rsidR="006362B7" w:rsidRDefault="00F869DB">
      <w:pPr>
        <w:jc w:val="center"/>
      </w:pPr>
      <w:r>
        <w:rPr>
          <w:b/>
          <w:sz w:val="44"/>
          <w:szCs w:val="44"/>
        </w:rPr>
        <w:t>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</w:t>
      </w:r>
    </w:p>
    <w:p w:rsidR="006362B7" w:rsidRDefault="006362B7">
      <w:pPr>
        <w:rPr>
          <w:b/>
          <w:sz w:val="36"/>
          <w:szCs w:val="36"/>
        </w:rPr>
      </w:pPr>
    </w:p>
    <w:p w:rsidR="006362B7" w:rsidRDefault="006362B7">
      <w:pPr>
        <w:rPr>
          <w:sz w:val="36"/>
          <w:szCs w:val="36"/>
        </w:rPr>
      </w:pPr>
    </w:p>
    <w:p w:rsidR="006362B7" w:rsidRDefault="006362B7">
      <w:pPr>
        <w:rPr>
          <w:sz w:val="36"/>
          <w:szCs w:val="36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rPr>
          <w:szCs w:val="28"/>
        </w:rPr>
      </w:pPr>
    </w:p>
    <w:p w:rsidR="006362B7" w:rsidRDefault="006362B7">
      <w:pPr>
        <w:jc w:val="center"/>
        <w:rPr>
          <w:szCs w:val="28"/>
        </w:rPr>
      </w:pPr>
    </w:p>
    <w:p w:rsidR="006362B7" w:rsidRDefault="006362B7">
      <w:pPr>
        <w:jc w:val="center"/>
        <w:rPr>
          <w:szCs w:val="28"/>
        </w:rPr>
      </w:pPr>
    </w:p>
    <w:p w:rsidR="006362B7" w:rsidRDefault="006362B7">
      <w:pPr>
        <w:jc w:val="center"/>
        <w:rPr>
          <w:szCs w:val="28"/>
        </w:rPr>
      </w:pPr>
    </w:p>
    <w:p w:rsidR="006362B7" w:rsidRDefault="006362B7">
      <w:pPr>
        <w:jc w:val="center"/>
        <w:rPr>
          <w:szCs w:val="28"/>
        </w:rPr>
      </w:pPr>
    </w:p>
    <w:p w:rsidR="006362B7" w:rsidRDefault="00F869DB">
      <w:pPr>
        <w:jc w:val="center"/>
      </w:pPr>
      <w:r>
        <w:rPr>
          <w:szCs w:val="28"/>
        </w:rPr>
        <w:t>м. Решетилівка</w:t>
      </w:r>
    </w:p>
    <w:p w:rsidR="006362B7" w:rsidRDefault="00F869DB">
      <w:pPr>
        <w:jc w:val="center"/>
      </w:pPr>
      <w:r>
        <w:rPr>
          <w:szCs w:val="28"/>
        </w:rPr>
        <w:t>2024 рік</w:t>
      </w:r>
    </w:p>
    <w:p w:rsidR="006362B7" w:rsidRDefault="006362B7">
      <w:pPr>
        <w:jc w:val="center"/>
        <w:rPr>
          <w:b/>
          <w:lang w:val="ru-RU"/>
        </w:rPr>
      </w:pPr>
    </w:p>
    <w:p w:rsidR="006362B7" w:rsidRDefault="00F869DB">
      <w:pPr>
        <w:pStyle w:val="ab"/>
        <w:numPr>
          <w:ilvl w:val="0"/>
          <w:numId w:val="2"/>
        </w:numPr>
        <w:jc w:val="center"/>
      </w:pPr>
      <w:r>
        <w:rPr>
          <w:b/>
          <w:color w:val="000000" w:themeColor="text1"/>
        </w:rPr>
        <w:lastRenderedPageBreak/>
        <w:t>ПАСПОРТ Програми</w:t>
      </w:r>
    </w:p>
    <w:p w:rsidR="006362B7" w:rsidRDefault="006362B7">
      <w:pPr>
        <w:pStyle w:val="ab"/>
        <w:ind w:left="1440"/>
        <w:jc w:val="center"/>
        <w:rPr>
          <w:b/>
          <w:color w:val="000000" w:themeColor="text1"/>
        </w:rPr>
      </w:pPr>
    </w:p>
    <w:tbl>
      <w:tblPr>
        <w:tblStyle w:val="af0"/>
        <w:tblW w:w="9497" w:type="dxa"/>
        <w:tblInd w:w="29" w:type="dxa"/>
        <w:tblLook w:val="04A0" w:firstRow="1" w:lastRow="0" w:firstColumn="1" w:lastColumn="0" w:noHBand="0" w:noVBand="1"/>
      </w:tblPr>
      <w:tblGrid>
        <w:gridCol w:w="424"/>
        <w:gridCol w:w="3543"/>
        <w:gridCol w:w="5530"/>
      </w:tblGrid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Управління Державної казначейської служби України у Решетилівському районі Полтавської області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Фінансове управління Решетилівської міської ради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Співрозробники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Управління Державної казначейської служби України у Решетилівському районі Полтавської області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Управління Державної казначейської служби України у Решетилівському районі Полтавської області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Учасник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Виконавчий комітет Решетилівської міської ради</w:t>
            </w:r>
          </w:p>
          <w:p w:rsidR="006362B7" w:rsidRDefault="00F869DB" w:rsidP="00D10B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Державної казначейської служби України у Решетилівському районі Полтавської області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Терміни реалізації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2024 рік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Перелік ресурсів, які беруть участь у виконанні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</w:pPr>
            <w:r>
              <w:rPr>
                <w:szCs w:val="28"/>
                <w:lang w:eastAsia="uk-UA"/>
              </w:rPr>
              <w:t>кошти бюджету Решетилівської міської територіальної громади</w:t>
            </w: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2024 рік – в межах кошторисних призначень </w:t>
            </w:r>
          </w:p>
          <w:p w:rsidR="006362B7" w:rsidRDefault="006362B7" w:rsidP="00D10BDC">
            <w:pPr>
              <w:jc w:val="both"/>
              <w:rPr>
                <w:szCs w:val="28"/>
              </w:rPr>
            </w:pPr>
          </w:p>
        </w:tc>
      </w:tr>
      <w:tr w:rsidR="006362B7">
        <w:tc>
          <w:tcPr>
            <w:tcW w:w="424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6362B7" w:rsidRDefault="00F869DB">
            <w:pPr>
              <w:rPr>
                <w:sz w:val="22"/>
                <w:szCs w:val="22"/>
              </w:rPr>
            </w:pPr>
            <w:r>
              <w:rPr>
                <w:szCs w:val="28"/>
              </w:rPr>
              <w:t>Основні джерела фінансування Програми</w:t>
            </w:r>
          </w:p>
        </w:tc>
        <w:tc>
          <w:tcPr>
            <w:tcW w:w="5530" w:type="dxa"/>
            <w:shd w:val="clear" w:color="auto" w:fill="auto"/>
          </w:tcPr>
          <w:p w:rsidR="006362B7" w:rsidRDefault="00F869DB" w:rsidP="00D10BDC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Кошти бюджету Решетилівської міської ради (субвенція з місцевого бюджету державному бюджету на виконання програм соціального-економічного розвитку регіонів) та інші джерела незаборонені законодавством</w:t>
            </w:r>
          </w:p>
        </w:tc>
      </w:tr>
    </w:tbl>
    <w:p w:rsidR="006362B7" w:rsidRDefault="006362B7">
      <w:pPr>
        <w:ind w:left="360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6362B7" w:rsidRDefault="006362B7">
      <w:pPr>
        <w:pStyle w:val="ab"/>
        <w:jc w:val="center"/>
        <w:rPr>
          <w:b/>
        </w:rPr>
      </w:pPr>
    </w:p>
    <w:p w:rsidR="00D10BDC" w:rsidRDefault="00D10BDC">
      <w:pPr>
        <w:pStyle w:val="ab"/>
        <w:jc w:val="center"/>
        <w:rPr>
          <w:b/>
        </w:rPr>
      </w:pPr>
      <w:r>
        <w:rPr>
          <w:b/>
        </w:rPr>
        <w:br w:type="page"/>
      </w:r>
    </w:p>
    <w:p w:rsidR="006362B7" w:rsidRDefault="00F869DB">
      <w:pPr>
        <w:pStyle w:val="ab"/>
        <w:jc w:val="center"/>
        <w:rPr>
          <w:b/>
        </w:rPr>
      </w:pPr>
      <w:r>
        <w:rPr>
          <w:b/>
        </w:rPr>
        <w:lastRenderedPageBreak/>
        <w:t>ІІ. Визначення проблеми на розв’язання якої</w:t>
      </w:r>
    </w:p>
    <w:p w:rsidR="006362B7" w:rsidRDefault="00F869DB">
      <w:pPr>
        <w:pStyle w:val="ab"/>
        <w:jc w:val="center"/>
        <w:rPr>
          <w:b/>
        </w:rPr>
      </w:pPr>
      <w:r>
        <w:rPr>
          <w:b/>
        </w:rPr>
        <w:t>спрямована Програма</w:t>
      </w:r>
    </w:p>
    <w:p w:rsidR="006362B7" w:rsidRDefault="00F869DB">
      <w:pPr>
        <w:jc w:val="both"/>
      </w:pPr>
      <w:r>
        <w:tab/>
      </w:r>
    </w:p>
    <w:p w:rsidR="006362B7" w:rsidRDefault="00F869DB" w:rsidP="00D10BDC">
      <w:pPr>
        <w:tabs>
          <w:tab w:val="left" w:pos="567"/>
        </w:tabs>
        <w:jc w:val="both"/>
      </w:pPr>
      <w:r>
        <w:tab/>
      </w:r>
      <w:r w:rsidRPr="00B730DA">
        <w:rPr>
          <w:color w:val="000000"/>
          <w:szCs w:val="28"/>
        </w:rPr>
        <w:t xml:space="preserve">Питання прозорості бюджетного процесу, ефективності використання наявних фінансових ресурсів та цільового спрямування бюджетних коштів місцевих бюджетів набувають особливої актуальності в умовах запровадження нових норм бюджетного законодавства, які сприяють більш ефективному </w:t>
      </w:r>
      <w:proofErr w:type="spellStart"/>
      <w:r w:rsidRPr="00B730DA">
        <w:rPr>
          <w:color w:val="000000"/>
          <w:szCs w:val="28"/>
        </w:rPr>
        <w:t>їx</w:t>
      </w:r>
      <w:proofErr w:type="spellEnd"/>
      <w:r w:rsidRPr="00B730DA">
        <w:rPr>
          <w:color w:val="000000"/>
          <w:szCs w:val="28"/>
        </w:rPr>
        <w:t xml:space="preserve"> використанню. Зміни бюджетної політики та нормативних актів, які відбуваються під впливом демократичного механізму прийняття рішень, розширення завдань та функцій органів державної влади, підвищують місце i роль органів Державної казначейської служби в обслуговуванні розпорядників бюджетних коштів та контролю за ïx цільовим використанням. Казначейське обслуговування бюджетних коштів на сучасному етапі бюджетної реформи в Україні виступає одним з головних елементів забезпечення i підвищення стабільності та захищеності бюджетної системи. Про це свідчить те, що в сучасних умовах органи Державного казначейства є одним із найактивніших учасників в процесі управління бюджетними коштами через реалізацію законодавчо прийнятих механізмів та процедур виконання бюджетів відповідно до вимог бюджетного законодавства.</w:t>
      </w:r>
      <w:r w:rsidRPr="00B730DA">
        <w:rPr>
          <w:szCs w:val="28"/>
        </w:rPr>
        <w:t xml:space="preserve"> 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 xml:space="preserve">Програма </w:t>
      </w:r>
      <w:r>
        <w:rPr>
          <w:szCs w:val="28"/>
        </w:rPr>
        <w:t xml:space="preserve">сприяння Управлінню Державної казначейської служби України у Решетилівському районі Полтавської області </w:t>
      </w:r>
      <w:r w:rsidR="003B7879">
        <w:rPr>
          <w:szCs w:val="28"/>
        </w:rPr>
        <w:t xml:space="preserve">(далі – Управління) </w:t>
      </w:r>
      <w:r>
        <w:rPr>
          <w:szCs w:val="28"/>
        </w:rPr>
        <w:t>у покращенні умов обслуговування розпорядників та одержувачів бюджетних коштів на 2024 рік (далі</w:t>
      </w:r>
      <w:r w:rsidR="003B7879">
        <w:rPr>
          <w:szCs w:val="28"/>
        </w:rPr>
        <w:t xml:space="preserve"> – </w:t>
      </w:r>
      <w:r>
        <w:rPr>
          <w:szCs w:val="28"/>
        </w:rPr>
        <w:t xml:space="preserve">Програма) </w:t>
      </w:r>
      <w:r>
        <w:t>розроблена і спрямована на забезпечення ефективної реалізації державної політики у сферах казначейського обслуговування бюджетних коштів, бухгалтерського обліку виконання бюджетів.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>В діяльності Управління існує ряд нагальних організаційних, фінансових, матеріально-технічних та інших проблем, які потребують невідкладного розв’язання, в тому числі за участю органів місцевого  самоврядування. Саме цим зумовлена необхідність розробки і затвердження Програми .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>Програма розроблена з урахуванням норм Бюджетного кодексу України зі змінами та доповненнями, Указу Президента України ,,Про Положення про Державну казначейську службу України</w:t>
      </w:r>
      <w:r w:rsidRPr="00FF3C6C">
        <w:t>”</w:t>
      </w:r>
      <w:r>
        <w:t xml:space="preserve"> від 13 квітня 2011 року №460/2011 зі змінами та доповненнями.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>Перш за все, Програма націлена на повне та якісне казначейське обслуговування розпорядників та одержувачів бюджетних коштів, створення зручних умов для виконання посадових обов’язків кожним працівником бюджетної сфери.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>Комплексне розв’язання питань пов’язаних з якісним та  своєчасним обслуговуванням розпорядників та одержувачів бюджетних коштів можливе шляхом розроблення, затвердження  та виконання</w:t>
      </w:r>
      <w:r w:rsidR="00B730DA">
        <w:t xml:space="preserve"> відповідної Програми сприяння У</w:t>
      </w:r>
      <w:r>
        <w:t>правлінню щодо покращення умов обслуговування  розпорядників та одержувачів бюджетних коштів на 2024 рік.</w:t>
      </w:r>
    </w:p>
    <w:p w:rsidR="003B7879" w:rsidRDefault="003B7879">
      <w:pPr>
        <w:jc w:val="both"/>
      </w:pPr>
    </w:p>
    <w:p w:rsidR="00FF3C6C" w:rsidRDefault="00FF3C6C">
      <w:pPr>
        <w:pStyle w:val="ab"/>
        <w:jc w:val="center"/>
        <w:rPr>
          <w:b/>
        </w:rPr>
      </w:pPr>
    </w:p>
    <w:p w:rsidR="006362B7" w:rsidRDefault="00F869DB">
      <w:pPr>
        <w:pStyle w:val="ab"/>
        <w:jc w:val="center"/>
      </w:pPr>
      <w:r>
        <w:rPr>
          <w:b/>
        </w:rPr>
        <w:lastRenderedPageBreak/>
        <w:t>ІІІ. Мета Програми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>Го</w:t>
      </w:r>
      <w:r w:rsidR="00B730DA">
        <w:t xml:space="preserve">ловною метою Програми </w:t>
      </w:r>
      <w:r>
        <w:t>є удосконалення роботи з розпорядниками та одержувачами бюджетних коштів в процесі надання казначейських послуг, створення с</w:t>
      </w:r>
      <w:r w:rsidR="00B730DA">
        <w:t>приятливих умов праці фахівців У</w:t>
      </w:r>
      <w:r>
        <w:t>правління, для виконання ними конституційного обов’язку на належному рівні, а також налагодження дієвої співпраці державної казначейської служби та органу місцевого самоврядування.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 xml:space="preserve">Головними напрямами Програми </w:t>
      </w:r>
      <w:r w:rsidR="00B730DA">
        <w:t>є покращення умов для фахівців У</w:t>
      </w:r>
      <w:r w:rsidR="003B7879">
        <w:t>правління</w:t>
      </w:r>
      <w:r>
        <w:t>, клієнтів управління а саме: офісне обладнання.</w:t>
      </w:r>
    </w:p>
    <w:p w:rsidR="006362B7" w:rsidRDefault="006362B7">
      <w:pPr>
        <w:pStyle w:val="ab"/>
        <w:jc w:val="center"/>
        <w:rPr>
          <w:b/>
        </w:rPr>
      </w:pPr>
    </w:p>
    <w:p w:rsidR="006362B7" w:rsidRDefault="00F869DB">
      <w:pPr>
        <w:pStyle w:val="ab"/>
        <w:jc w:val="center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>
        <w:rPr>
          <w:b/>
          <w:lang w:val="ru-RU"/>
        </w:rPr>
        <w:t xml:space="preserve">. </w:t>
      </w:r>
      <w:r>
        <w:rPr>
          <w:b/>
        </w:rPr>
        <w:t>Шляхи і засоби розв’язання проблеми,</w:t>
      </w:r>
    </w:p>
    <w:p w:rsidR="006362B7" w:rsidRPr="00FF3C6C" w:rsidRDefault="00F869DB">
      <w:pPr>
        <w:pStyle w:val="ab"/>
        <w:jc w:val="center"/>
        <w:rPr>
          <w:b/>
          <w:lang w:val="ru-RU"/>
        </w:rPr>
      </w:pPr>
      <w:r>
        <w:rPr>
          <w:b/>
        </w:rPr>
        <w:t>строки виконання Програми</w:t>
      </w:r>
    </w:p>
    <w:p w:rsidR="006362B7" w:rsidRDefault="00F869DB" w:rsidP="00D10BDC">
      <w:pPr>
        <w:tabs>
          <w:tab w:val="left" w:pos="567"/>
        </w:tabs>
        <w:jc w:val="both"/>
      </w:pPr>
      <w:r w:rsidRPr="00FF3C6C">
        <w:rPr>
          <w:lang w:val="ru-RU"/>
        </w:rPr>
        <w:tab/>
      </w:r>
      <w:r>
        <w:t>Програма передбачає комплексне розв’язання проблем матеріально-техніч</w:t>
      </w:r>
      <w:r w:rsidR="00B730DA">
        <w:t>ного  забезпечення У</w:t>
      </w:r>
      <w:r>
        <w:t>правління.</w:t>
      </w:r>
    </w:p>
    <w:p w:rsidR="006362B7" w:rsidRDefault="00F869DB" w:rsidP="00D10BDC">
      <w:pPr>
        <w:tabs>
          <w:tab w:val="left" w:pos="567"/>
        </w:tabs>
        <w:jc w:val="both"/>
      </w:pPr>
      <w:r w:rsidRPr="00FF3C6C">
        <w:rPr>
          <w:lang w:val="ru-RU"/>
        </w:rPr>
        <w:tab/>
      </w:r>
      <w:r>
        <w:t>Виконання Програми дає можливість здійснити мат</w:t>
      </w:r>
      <w:r w:rsidR="00B730DA">
        <w:t>еріально-технічне забезпечення У</w:t>
      </w:r>
      <w:r>
        <w:t>правління, яке обслуговує розпорядників та одержувачів бюджетних коштів розташованих на території Решетилівської громади.</w:t>
      </w:r>
    </w:p>
    <w:p w:rsidR="006362B7" w:rsidRDefault="00F869DB" w:rsidP="00D10BDC">
      <w:pPr>
        <w:tabs>
          <w:tab w:val="left" w:pos="567"/>
        </w:tabs>
        <w:jc w:val="both"/>
      </w:pPr>
      <w:r w:rsidRPr="00FF3C6C">
        <w:rPr>
          <w:lang w:val="ru-RU"/>
        </w:rPr>
        <w:tab/>
      </w:r>
      <w:r>
        <w:t>Фінансування Програми здійснюватиметься за рахунок коштів міського бюджету, що передається у вигляді субвенції державному бюджету на виконання програм соціально-економічного розвитку регіонів у порядку дії статті Бюджетного кодексу України.</w:t>
      </w:r>
    </w:p>
    <w:p w:rsidR="006362B7" w:rsidRDefault="00F869DB" w:rsidP="00D10BDC">
      <w:pPr>
        <w:tabs>
          <w:tab w:val="left" w:pos="567"/>
        </w:tabs>
        <w:jc w:val="both"/>
      </w:pPr>
      <w:r w:rsidRPr="00FF3C6C">
        <w:rPr>
          <w:lang w:val="ru-RU"/>
        </w:rPr>
        <w:tab/>
      </w:r>
      <w:r>
        <w:t>Реалізація Програми відбуватиметься протягом 2024 року.</w:t>
      </w:r>
    </w:p>
    <w:p w:rsidR="006362B7" w:rsidRPr="00FF3C6C" w:rsidRDefault="006362B7">
      <w:pPr>
        <w:pStyle w:val="ab"/>
        <w:jc w:val="center"/>
        <w:rPr>
          <w:sz w:val="24"/>
          <w:szCs w:val="24"/>
          <w:lang w:val="ru-RU"/>
        </w:rPr>
      </w:pPr>
    </w:p>
    <w:p w:rsidR="006362B7" w:rsidRDefault="00F869DB">
      <w:pPr>
        <w:pStyle w:val="ab"/>
        <w:ind w:left="1440"/>
        <w:jc w:val="center"/>
      </w:pPr>
      <w:r>
        <w:rPr>
          <w:b/>
          <w:lang w:val="en-US"/>
        </w:rPr>
        <w:t>V</w:t>
      </w:r>
      <w:r>
        <w:rPr>
          <w:b/>
          <w:lang w:val="ru-RU"/>
        </w:rPr>
        <w:t xml:space="preserve">. </w:t>
      </w:r>
      <w:r>
        <w:rPr>
          <w:b/>
        </w:rPr>
        <w:t>Заходи реалізації Програми</w:t>
      </w:r>
    </w:p>
    <w:p w:rsidR="006362B7" w:rsidRDefault="00F869DB" w:rsidP="00D10BDC">
      <w:pPr>
        <w:pStyle w:val="ab"/>
        <w:tabs>
          <w:tab w:val="left" w:pos="567"/>
        </w:tabs>
        <w:ind w:left="0"/>
        <w:jc w:val="both"/>
      </w:pPr>
      <w:r w:rsidRPr="00FF3C6C">
        <w:rPr>
          <w:lang w:val="ru-RU"/>
        </w:rPr>
        <w:tab/>
      </w:r>
      <w:r>
        <w:t>Організаційно-правове забезпечення заходів направлених на забезпечення ефективної реалізації державної політики у сферах казначейського обслуговування бюджетних коштів, бухгалтерського обліку виконання бюджетів.</w:t>
      </w:r>
    </w:p>
    <w:p w:rsidR="006362B7" w:rsidRDefault="00F869DB" w:rsidP="00D10BDC">
      <w:pPr>
        <w:pStyle w:val="ab"/>
        <w:tabs>
          <w:tab w:val="left" w:pos="567"/>
          <w:tab w:val="left" w:pos="851"/>
        </w:tabs>
        <w:ind w:left="0"/>
        <w:jc w:val="both"/>
      </w:pPr>
      <w:r w:rsidRPr="00FF3C6C">
        <w:rPr>
          <w:lang w:val="ru-RU"/>
        </w:rPr>
        <w:tab/>
      </w:r>
      <w:r>
        <w:t>1. Надання органам місцевого самоврядування пропозицій з питань додержання вимог бюджетного законодавства.</w:t>
      </w:r>
    </w:p>
    <w:p w:rsidR="006362B7" w:rsidRDefault="00F869DB" w:rsidP="00D10BDC">
      <w:pPr>
        <w:pStyle w:val="ab"/>
        <w:tabs>
          <w:tab w:val="left" w:pos="567"/>
          <w:tab w:val="left" w:pos="851"/>
        </w:tabs>
        <w:ind w:left="0"/>
        <w:jc w:val="both"/>
      </w:pPr>
      <w:r>
        <w:tab/>
        <w:t>2. Створення</w:t>
      </w:r>
      <w:r w:rsidR="00B730DA">
        <w:t xml:space="preserve"> сприятливих умов для фахівців У</w:t>
      </w:r>
      <w:r>
        <w:t>правління, розпорядників та одержувачів бюджетних коштів для виконання ними конституційного обов’язку на належному рівні з метою своєчасної та якісної реалізації державної політики у сфері казначейського обслуговування бюджетних коштів, усунення причин та умов вчинення порушень бюджетного законодавства.</w:t>
      </w:r>
    </w:p>
    <w:p w:rsidR="006362B7" w:rsidRDefault="00F869DB" w:rsidP="00D10BDC">
      <w:pPr>
        <w:pStyle w:val="ab"/>
        <w:tabs>
          <w:tab w:val="left" w:pos="567"/>
          <w:tab w:val="left" w:pos="851"/>
        </w:tabs>
        <w:ind w:left="0"/>
        <w:jc w:val="both"/>
      </w:pPr>
      <w:r>
        <w:tab/>
        <w:t xml:space="preserve">3. Регулярний розгляд стану виконання Програми на службових нарадах, при необхідності  надання пропозицій щодо внесення до неї відповідних змін і доповнень. </w:t>
      </w:r>
    </w:p>
    <w:p w:rsidR="006362B7" w:rsidRDefault="006362B7">
      <w:pPr>
        <w:pStyle w:val="ab"/>
        <w:tabs>
          <w:tab w:val="left" w:pos="851"/>
        </w:tabs>
        <w:ind w:left="0"/>
        <w:jc w:val="both"/>
      </w:pPr>
    </w:p>
    <w:p w:rsidR="006362B7" w:rsidRDefault="00F869DB">
      <w:pPr>
        <w:pStyle w:val="ab"/>
        <w:tabs>
          <w:tab w:val="left" w:pos="851"/>
        </w:tabs>
        <w:ind w:left="0"/>
        <w:jc w:val="center"/>
      </w:pPr>
      <w:r>
        <w:rPr>
          <w:b/>
        </w:rPr>
        <w:tab/>
        <w:t>Заходи по ефективному казначейському обслуговуванню бюджетних коштів</w:t>
      </w:r>
    </w:p>
    <w:p w:rsidR="006362B7" w:rsidRDefault="00F869DB" w:rsidP="00D10BDC">
      <w:pPr>
        <w:pStyle w:val="ab"/>
        <w:tabs>
          <w:tab w:val="left" w:pos="567"/>
        </w:tabs>
        <w:ind w:left="0"/>
        <w:jc w:val="both"/>
      </w:pPr>
      <w:r>
        <w:tab/>
        <w:t>Забезпечення</w:t>
      </w:r>
      <w:r w:rsidR="00B730DA">
        <w:t xml:space="preserve"> безперебійного функціонування У</w:t>
      </w:r>
      <w:r>
        <w:t>правління Державної казначейської служби України у Решетилівському районі Полтавської області.</w:t>
      </w:r>
    </w:p>
    <w:p w:rsidR="006362B7" w:rsidRDefault="006362B7">
      <w:pPr>
        <w:pStyle w:val="ab"/>
        <w:ind w:left="0"/>
        <w:jc w:val="both"/>
      </w:pPr>
    </w:p>
    <w:p w:rsidR="003B7879" w:rsidRDefault="00F869DB">
      <w:pPr>
        <w:pStyle w:val="ab"/>
        <w:ind w:left="0"/>
        <w:jc w:val="center"/>
        <w:rPr>
          <w:b/>
        </w:rPr>
      </w:pPr>
      <w:r>
        <w:rPr>
          <w:b/>
        </w:rPr>
        <w:tab/>
      </w:r>
    </w:p>
    <w:p w:rsidR="006362B7" w:rsidRDefault="00F869DB">
      <w:pPr>
        <w:pStyle w:val="ab"/>
        <w:ind w:left="0"/>
        <w:jc w:val="center"/>
      </w:pPr>
      <w:r>
        <w:rPr>
          <w:b/>
        </w:rPr>
        <w:lastRenderedPageBreak/>
        <w:t>Фінансове, матеріально-технічне та інформаційне забезпечення заходів програми</w:t>
      </w:r>
    </w:p>
    <w:p w:rsidR="006362B7" w:rsidRDefault="00F869DB" w:rsidP="00D10BDC">
      <w:pPr>
        <w:ind w:firstLine="567"/>
        <w:jc w:val="both"/>
      </w:pPr>
      <w:r>
        <w:t>Фінансування Програми здійснюватиметься за рахунок коштів бюджету Решетилівської міської ради, що передається у вигляді субвенції державному бюджету на виконання програм соціально-економічного та культурного  розвитку регіонів у порядку дії ст.85 Бюджетного кодексу України, та інших джерел, які не заборонені законодавством України, відповідно до Ресурсного забезпечення програми.</w:t>
      </w:r>
    </w:p>
    <w:p w:rsidR="00FF3C6C" w:rsidRDefault="00FF3C6C">
      <w:pPr>
        <w:jc w:val="both"/>
      </w:pPr>
    </w:p>
    <w:p w:rsidR="006362B7" w:rsidRDefault="00F869DB">
      <w:pPr>
        <w:jc w:val="center"/>
      </w:pPr>
      <w:r>
        <w:rPr>
          <w:b/>
        </w:rPr>
        <w:t xml:space="preserve">VІ. Ресурсне забезпечення Програми </w:t>
      </w:r>
    </w:p>
    <w:p w:rsidR="006362B7" w:rsidRDefault="006362B7">
      <w:pPr>
        <w:jc w:val="center"/>
        <w:rPr>
          <w:b/>
        </w:rPr>
      </w:pPr>
    </w:p>
    <w:tbl>
      <w:tblPr>
        <w:tblStyle w:val="af0"/>
        <w:tblW w:w="9707" w:type="dxa"/>
        <w:tblInd w:w="39" w:type="dxa"/>
        <w:tblLook w:val="04A0" w:firstRow="1" w:lastRow="0" w:firstColumn="1" w:lastColumn="0" w:noHBand="0" w:noVBand="1"/>
      </w:tblPr>
      <w:tblGrid>
        <w:gridCol w:w="465"/>
        <w:gridCol w:w="1875"/>
        <w:gridCol w:w="1218"/>
        <w:gridCol w:w="1855"/>
        <w:gridCol w:w="1514"/>
        <w:gridCol w:w="1514"/>
        <w:gridCol w:w="1374"/>
      </w:tblGrid>
      <w:tr w:rsidR="006362B7">
        <w:tc>
          <w:tcPr>
            <w:tcW w:w="345" w:type="dxa"/>
            <w:tcBorders>
              <w:right w:val="nil"/>
            </w:tcBorders>
            <w:shd w:val="clear" w:color="auto" w:fill="auto"/>
          </w:tcPr>
          <w:p w:rsidR="006362B7" w:rsidRDefault="00F869DB">
            <w:pPr>
              <w:jc w:val="both"/>
            </w:pPr>
            <w:r>
              <w:t>№</w:t>
            </w:r>
          </w:p>
        </w:tc>
        <w:tc>
          <w:tcPr>
            <w:tcW w:w="2562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заходу</w:t>
            </w:r>
          </w:p>
        </w:tc>
        <w:tc>
          <w:tcPr>
            <w:tcW w:w="1096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1710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  <w:tc>
          <w:tcPr>
            <w:tcW w:w="1364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378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Орієнтовні обсяги фінансування із місцевого бюджету, грн.</w:t>
            </w:r>
          </w:p>
        </w:tc>
        <w:tc>
          <w:tcPr>
            <w:tcW w:w="1252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Очікуваний результат</w:t>
            </w:r>
          </w:p>
        </w:tc>
      </w:tr>
      <w:tr w:rsidR="006362B7">
        <w:tc>
          <w:tcPr>
            <w:tcW w:w="345" w:type="dxa"/>
            <w:tcBorders>
              <w:right w:val="nil"/>
            </w:tcBorders>
            <w:shd w:val="clear" w:color="auto" w:fill="auto"/>
          </w:tcPr>
          <w:p w:rsidR="006362B7" w:rsidRDefault="00F869DB">
            <w:pPr>
              <w:jc w:val="both"/>
            </w:pPr>
            <w:r>
              <w:t>1</w:t>
            </w:r>
          </w:p>
        </w:tc>
        <w:tc>
          <w:tcPr>
            <w:tcW w:w="2562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Офісне обладнання для УДКСУ у Решетилівському районі</w:t>
            </w:r>
          </w:p>
        </w:tc>
        <w:tc>
          <w:tcPr>
            <w:tcW w:w="1096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1710" w:type="dxa"/>
            <w:shd w:val="clear" w:color="auto" w:fill="auto"/>
          </w:tcPr>
          <w:p w:rsidR="006362B7" w:rsidRDefault="00F869DB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УДКСУ України у Решетилівському районі</w:t>
            </w:r>
          </w:p>
        </w:tc>
        <w:tc>
          <w:tcPr>
            <w:tcW w:w="1364" w:type="dxa"/>
            <w:shd w:val="clear" w:color="auto" w:fill="auto"/>
          </w:tcPr>
          <w:p w:rsidR="006362B7" w:rsidRDefault="00F8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міського бюджету, що передаються у вигляді субвенції державному бюджету</w:t>
            </w:r>
          </w:p>
        </w:tc>
        <w:tc>
          <w:tcPr>
            <w:tcW w:w="1378" w:type="dxa"/>
            <w:shd w:val="clear" w:color="auto" w:fill="auto"/>
          </w:tcPr>
          <w:p w:rsidR="006362B7" w:rsidRDefault="00F86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252" w:type="dxa"/>
            <w:shd w:val="clear" w:color="auto" w:fill="auto"/>
          </w:tcPr>
          <w:p w:rsidR="006362B7" w:rsidRDefault="00F869DB">
            <w:pPr>
              <w:ind w:left="-9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с</w:t>
            </w:r>
            <w:r w:rsidR="00B730DA">
              <w:rPr>
                <w:sz w:val="24"/>
                <w:szCs w:val="24"/>
              </w:rPr>
              <w:t>приятливих умов праці фахівців У</w:t>
            </w:r>
            <w:r>
              <w:rPr>
                <w:sz w:val="24"/>
                <w:szCs w:val="24"/>
              </w:rPr>
              <w:t>правління казначейства</w:t>
            </w:r>
          </w:p>
        </w:tc>
      </w:tr>
    </w:tbl>
    <w:p w:rsidR="006362B7" w:rsidRDefault="006362B7">
      <w:pPr>
        <w:jc w:val="both"/>
        <w:rPr>
          <w:b/>
        </w:rPr>
      </w:pPr>
    </w:p>
    <w:p w:rsidR="00FF3C6C" w:rsidRDefault="00FF3C6C">
      <w:pPr>
        <w:jc w:val="both"/>
        <w:rPr>
          <w:b/>
        </w:rPr>
      </w:pPr>
    </w:p>
    <w:p w:rsidR="006362B7" w:rsidRDefault="00F869DB" w:rsidP="00D10BDC">
      <w:pPr>
        <w:pStyle w:val="ab"/>
        <w:tabs>
          <w:tab w:val="left" w:pos="567"/>
        </w:tabs>
        <w:ind w:left="1440"/>
        <w:jc w:val="center"/>
      </w:pPr>
      <w:r>
        <w:rPr>
          <w:b/>
        </w:rPr>
        <w:t>VІІ. Контроль за ходом виконання Програми</w:t>
      </w:r>
    </w:p>
    <w:p w:rsidR="006362B7" w:rsidRDefault="00F869DB" w:rsidP="00D10BDC">
      <w:pPr>
        <w:tabs>
          <w:tab w:val="left" w:pos="567"/>
        </w:tabs>
        <w:ind w:firstLine="567"/>
        <w:jc w:val="both"/>
      </w:pPr>
      <w:r>
        <w:t>Безперебійний  контроль за ходом виконання заходів і завдань Програми здійснює відповідальний виконавець, а за цільовим та ефективним використанням коштів – головний розпорядник коштів.</w:t>
      </w:r>
    </w:p>
    <w:p w:rsidR="006362B7" w:rsidRDefault="00F869DB" w:rsidP="00D10BDC">
      <w:pPr>
        <w:tabs>
          <w:tab w:val="left" w:pos="567"/>
        </w:tabs>
        <w:jc w:val="both"/>
      </w:pPr>
      <w:r>
        <w:tab/>
        <w:t>Управління до кінця поточного року надає головному розпорядникові коштів звіт щодо напрямків використання субвенції.</w:t>
      </w:r>
    </w:p>
    <w:p w:rsidR="006362B7" w:rsidRDefault="00F869DB">
      <w:pPr>
        <w:jc w:val="both"/>
      </w:pPr>
      <w:r>
        <w:tab/>
      </w:r>
    </w:p>
    <w:p w:rsidR="006362B7" w:rsidRDefault="006362B7"/>
    <w:p w:rsidR="006362B7" w:rsidRDefault="006362B7"/>
    <w:p w:rsidR="003B7879" w:rsidRDefault="003B7879"/>
    <w:p w:rsidR="003B7879" w:rsidRDefault="003B7879"/>
    <w:p w:rsidR="003B7879" w:rsidRDefault="003B7879"/>
    <w:p w:rsidR="006362B7" w:rsidRDefault="006362B7"/>
    <w:p w:rsidR="006362B7" w:rsidRDefault="006362B7"/>
    <w:p w:rsidR="006362B7" w:rsidRDefault="00F869DB">
      <w:r>
        <w:rPr>
          <w:szCs w:val="28"/>
        </w:rPr>
        <w:t xml:space="preserve">Начальник фінансового управління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Віктор ОНУФРІЄНКО</w:t>
      </w:r>
    </w:p>
    <w:p w:rsidR="006362B7" w:rsidRDefault="006362B7"/>
    <w:sectPr w:rsidR="006362B7">
      <w:headerReference w:type="default" r:id="rId10"/>
      <w:pgSz w:w="11906" w:h="16838"/>
      <w:pgMar w:top="766" w:right="567" w:bottom="96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57" w:rsidRDefault="00AD1357">
      <w:r>
        <w:separator/>
      </w:r>
    </w:p>
  </w:endnote>
  <w:endnote w:type="continuationSeparator" w:id="0">
    <w:p w:rsidR="00AD1357" w:rsidRDefault="00AD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57" w:rsidRDefault="00AD1357">
      <w:r>
        <w:separator/>
      </w:r>
    </w:p>
  </w:footnote>
  <w:footnote w:type="continuationSeparator" w:id="0">
    <w:p w:rsidR="00AD1357" w:rsidRDefault="00AD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707012"/>
      <w:docPartObj>
        <w:docPartGallery w:val="Page Numbers (Top of Page)"/>
        <w:docPartUnique/>
      </w:docPartObj>
    </w:sdtPr>
    <w:sdtEndPr/>
    <w:sdtContent>
      <w:p w:rsidR="00AD1357" w:rsidRDefault="00AD1357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01016">
          <w:rPr>
            <w:noProof/>
          </w:rPr>
          <w:t>5</w:t>
        </w:r>
        <w:r>
          <w:fldChar w:fldCharType="end"/>
        </w:r>
      </w:p>
      <w:p w:rsidR="00AD1357" w:rsidRDefault="00501016">
        <w:pPr>
          <w:pStyle w:val="ae"/>
          <w:jc w:val="center"/>
          <w:rPr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4FDD"/>
    <w:multiLevelType w:val="multilevel"/>
    <w:tmpl w:val="4352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2106"/>
    <w:multiLevelType w:val="multilevel"/>
    <w:tmpl w:val="42121DC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609CD"/>
    <w:multiLevelType w:val="multilevel"/>
    <w:tmpl w:val="37DC59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B7"/>
    <w:rsid w:val="003B7879"/>
    <w:rsid w:val="00501016"/>
    <w:rsid w:val="006362B7"/>
    <w:rsid w:val="00815F7B"/>
    <w:rsid w:val="00AD1357"/>
    <w:rsid w:val="00B1369B"/>
    <w:rsid w:val="00B730DA"/>
    <w:rsid w:val="00CB63C4"/>
    <w:rsid w:val="00D10BDC"/>
    <w:rsid w:val="00D44D86"/>
    <w:rsid w:val="00F869DB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7"/>
    <w:pPr>
      <w:snapToGrid w:val="0"/>
    </w:pPr>
    <w:rPr>
      <w:rFonts w:ascii="Times New Roman" w:eastAsia="Times New Roman" w:hAnsi="Times New Roman" w:cs="Times New Roman"/>
      <w:color w:val="00000A"/>
      <w:sz w:val="28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112A5"/>
    <w:rPr>
      <w:rFonts w:ascii="Segoe UI" w:eastAsia="Times New Roman" w:hAnsi="Segoe UI" w:cs="Segoe UI"/>
      <w:color w:val="00000A"/>
      <w:sz w:val="18"/>
      <w:szCs w:val="18"/>
      <w:lang w:val="uk-UA" w:eastAsia="zh-CN"/>
    </w:rPr>
  </w:style>
  <w:style w:type="character" w:customStyle="1" w:styleId="a4">
    <w:name w:val="Верхний колонтитул Знак"/>
    <w:basedOn w:val="a0"/>
    <w:uiPriority w:val="99"/>
    <w:qFormat/>
    <w:rsid w:val="005955BC"/>
    <w:rPr>
      <w:rFonts w:ascii="Times New Roman" w:eastAsia="Times New Roman" w:hAnsi="Times New Roman" w:cs="Times New Roman"/>
      <w:color w:val="00000A"/>
      <w:sz w:val="28"/>
      <w:szCs w:val="26"/>
      <w:lang w:val="uk-UA" w:eastAsia="zh-CN"/>
    </w:rPr>
  </w:style>
  <w:style w:type="character" w:customStyle="1" w:styleId="a5">
    <w:name w:val="Нижний колонтитул Знак"/>
    <w:basedOn w:val="a0"/>
    <w:uiPriority w:val="99"/>
    <w:qFormat/>
    <w:rsid w:val="005955BC"/>
    <w:rPr>
      <w:rFonts w:ascii="Times New Roman" w:eastAsia="Times New Roman" w:hAnsi="Times New Roman" w:cs="Times New Roman"/>
      <w:color w:val="00000A"/>
      <w:sz w:val="28"/>
      <w:szCs w:val="2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7C0D2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112A5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955B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955BC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Calibri"/>
      <w:sz w:val="22"/>
      <w:lang w:eastAsia="ru-RU"/>
    </w:rPr>
  </w:style>
  <w:style w:type="table" w:styleId="af0">
    <w:name w:val="Table Grid"/>
    <w:basedOn w:val="a1"/>
    <w:uiPriority w:val="39"/>
    <w:rsid w:val="007C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081E-FA8D-4D5B-9716-9A2F354E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5984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Fin2</cp:lastModifiedBy>
  <cp:revision>31</cp:revision>
  <cp:lastPrinted>2018-09-24T10:19:00Z</cp:lastPrinted>
  <dcterms:created xsi:type="dcterms:W3CDTF">2024-07-10T05:57:00Z</dcterms:created>
  <dcterms:modified xsi:type="dcterms:W3CDTF">2024-07-31T13:36:00Z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