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16F" w:rsidRPr="00DF012D" w:rsidRDefault="00CA616F" w:rsidP="00730B3E">
      <w:pPr>
        <w:keepNext/>
        <w:tabs>
          <w:tab w:val="left" w:pos="10490"/>
        </w:tabs>
        <w:suppressAutoHyphens/>
        <w:spacing w:after="0"/>
        <w:ind w:right="6"/>
        <w:jc w:val="right"/>
        <w:rPr>
          <w:szCs w:val="28"/>
          <w:lang w:val="uk-UA"/>
        </w:rPr>
      </w:pPr>
      <w:r w:rsidRPr="00DF012D">
        <w:rPr>
          <w:szCs w:val="28"/>
          <w:lang w:val="uk-UA"/>
        </w:rPr>
        <w:t>Додаток 2</w:t>
      </w:r>
    </w:p>
    <w:p w:rsidR="00CA616F" w:rsidRPr="00DF012D" w:rsidRDefault="00CA616F" w:rsidP="00730B3E">
      <w:pPr>
        <w:keepNext/>
        <w:tabs>
          <w:tab w:val="left" w:pos="10490"/>
        </w:tabs>
        <w:suppressAutoHyphens/>
        <w:spacing w:after="0"/>
        <w:ind w:left="9639"/>
        <w:rPr>
          <w:szCs w:val="28"/>
          <w:lang w:val="uk-UA"/>
        </w:rPr>
      </w:pPr>
    </w:p>
    <w:p w:rsidR="00CA616F" w:rsidRPr="00DF012D" w:rsidRDefault="00CA616F" w:rsidP="00730B3E">
      <w:pPr>
        <w:keepNext/>
        <w:tabs>
          <w:tab w:val="left" w:pos="10490"/>
        </w:tabs>
        <w:suppressAutoHyphens/>
        <w:spacing w:after="0"/>
        <w:ind w:left="10490"/>
        <w:jc w:val="both"/>
        <w:rPr>
          <w:szCs w:val="28"/>
          <w:lang w:val="uk-UA"/>
        </w:rPr>
      </w:pPr>
      <w:r w:rsidRPr="00DF012D">
        <w:rPr>
          <w:szCs w:val="28"/>
          <w:lang w:val="uk-UA"/>
        </w:rPr>
        <w:t>до Середньострокового плану пріоритетних публічних і</w:t>
      </w:r>
      <w:r w:rsidR="00DF012D" w:rsidRPr="00DF012D">
        <w:rPr>
          <w:szCs w:val="28"/>
          <w:lang w:val="uk-UA"/>
        </w:rPr>
        <w:t>нвестицій Решетилівської</w:t>
      </w:r>
      <w:r w:rsidRPr="00DF012D">
        <w:rPr>
          <w:szCs w:val="28"/>
          <w:lang w:val="uk-UA"/>
        </w:rPr>
        <w:t xml:space="preserve"> міської територіальної громади на 2026-2028 роки</w:t>
      </w:r>
    </w:p>
    <w:p w:rsidR="00CA616F" w:rsidRPr="00DF012D" w:rsidRDefault="00CA616F" w:rsidP="00730B3E">
      <w:pPr>
        <w:tabs>
          <w:tab w:val="left" w:pos="12476"/>
        </w:tabs>
        <w:spacing w:after="0"/>
        <w:jc w:val="center"/>
        <w:rPr>
          <w:szCs w:val="28"/>
          <w:lang w:val="uk-UA"/>
        </w:rPr>
      </w:pPr>
    </w:p>
    <w:p w:rsidR="00CA616F" w:rsidRPr="00DF012D" w:rsidRDefault="00CA616F" w:rsidP="00730B3E">
      <w:pPr>
        <w:tabs>
          <w:tab w:val="left" w:pos="12476"/>
        </w:tabs>
        <w:spacing w:after="0"/>
        <w:jc w:val="center"/>
        <w:rPr>
          <w:b/>
          <w:bCs/>
          <w:szCs w:val="28"/>
          <w:lang w:val="uk-UA"/>
        </w:rPr>
      </w:pPr>
      <w:r w:rsidRPr="00DF012D">
        <w:rPr>
          <w:b/>
          <w:bCs/>
          <w:szCs w:val="28"/>
          <w:lang w:val="uk-UA"/>
        </w:rPr>
        <w:t>Інші напрями публічного інвестування</w:t>
      </w:r>
    </w:p>
    <w:p w:rsidR="00CA616F" w:rsidRPr="00DF012D" w:rsidRDefault="00CA616F" w:rsidP="00730B3E">
      <w:pPr>
        <w:tabs>
          <w:tab w:val="left" w:pos="12476"/>
        </w:tabs>
        <w:spacing w:after="0"/>
        <w:jc w:val="center"/>
        <w:rPr>
          <w:bCs/>
          <w:szCs w:val="28"/>
          <w:lang w:val="uk-UA"/>
        </w:rPr>
      </w:pPr>
    </w:p>
    <w:p w:rsidR="00CA616F" w:rsidRPr="00DF012D" w:rsidRDefault="00CA616F" w:rsidP="00730B3E">
      <w:pPr>
        <w:tabs>
          <w:tab w:val="left" w:pos="12476"/>
        </w:tabs>
        <w:spacing w:after="0"/>
        <w:jc w:val="both"/>
        <w:rPr>
          <w:szCs w:val="28"/>
          <w:lang w:val="uk-UA"/>
        </w:rPr>
      </w:pPr>
      <w:r w:rsidRPr="00DF012D">
        <w:rPr>
          <w:szCs w:val="28"/>
          <w:lang w:val="uk-UA"/>
        </w:rPr>
        <w:t xml:space="preserve">Галузь (сектор) для публічного інвестування – Освіта </w:t>
      </w:r>
    </w:p>
    <w:p w:rsidR="00730B3E" w:rsidRPr="00DF012D" w:rsidRDefault="00730B3E" w:rsidP="00730B3E">
      <w:pPr>
        <w:tabs>
          <w:tab w:val="left" w:pos="12476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Суб’єкт, відповідальний</w:t>
      </w:r>
      <w:r w:rsidRPr="00DF012D">
        <w:rPr>
          <w:szCs w:val="28"/>
          <w:lang w:val="uk-UA"/>
        </w:rPr>
        <w:t xml:space="preserve"> за галузь (сектор) для публічного інвестування – Відділ освіти Решетилівської міської ради</w:t>
      </w:r>
    </w:p>
    <w:p w:rsidR="00CA616F" w:rsidRPr="00FD621B" w:rsidRDefault="00CA616F" w:rsidP="00730B3E">
      <w:pPr>
        <w:tabs>
          <w:tab w:val="left" w:pos="12476"/>
        </w:tabs>
        <w:spacing w:after="0"/>
        <w:jc w:val="both"/>
        <w:rPr>
          <w:szCs w:val="28"/>
          <w:lang w:val="uk-UA"/>
        </w:rPr>
      </w:pPr>
      <w:r w:rsidRPr="00DF012D">
        <w:rPr>
          <w:szCs w:val="28"/>
          <w:lang w:val="uk-UA"/>
        </w:rPr>
        <w:t xml:space="preserve">Граничний сукупний обсяг публічних інвестицій на середньостроковий період </w:t>
      </w:r>
      <w:r w:rsidR="00730B3E">
        <w:rPr>
          <w:szCs w:val="28"/>
          <w:lang w:val="uk-UA"/>
        </w:rPr>
        <w:t>– без конкретної суми.</w:t>
      </w:r>
    </w:p>
    <w:p w:rsidR="00CA616F" w:rsidRPr="00FD621B" w:rsidRDefault="00CA616F" w:rsidP="00730B3E">
      <w:pPr>
        <w:tabs>
          <w:tab w:val="left" w:pos="12476"/>
        </w:tabs>
        <w:spacing w:after="0"/>
        <w:jc w:val="both"/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29"/>
        <w:gridCol w:w="2060"/>
        <w:gridCol w:w="2058"/>
        <w:gridCol w:w="2057"/>
        <w:gridCol w:w="2044"/>
        <w:gridCol w:w="2451"/>
      </w:tblGrid>
      <w:tr w:rsidR="00CA616F" w:rsidRPr="00FD621B" w:rsidTr="00730B3E">
        <w:tc>
          <w:tcPr>
            <w:tcW w:w="2268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Напрям</w:t>
            </w:r>
          </w:p>
        </w:tc>
        <w:tc>
          <w:tcPr>
            <w:tcW w:w="2229" w:type="dxa"/>
          </w:tcPr>
          <w:p w:rsidR="00CA616F" w:rsidRPr="00FD621B" w:rsidRDefault="00CA616F" w:rsidP="00F023DB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Діючі проєкти/програми</w:t>
            </w:r>
          </w:p>
        </w:tc>
        <w:tc>
          <w:tcPr>
            <w:tcW w:w="2060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Підсектор</w:t>
            </w:r>
          </w:p>
        </w:tc>
        <w:tc>
          <w:tcPr>
            <w:tcW w:w="2058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Цільовий показник</w:t>
            </w:r>
          </w:p>
        </w:tc>
        <w:tc>
          <w:tcPr>
            <w:tcW w:w="2057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Базове значення</w:t>
            </w:r>
          </w:p>
        </w:tc>
        <w:tc>
          <w:tcPr>
            <w:tcW w:w="2044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Ціль 2028</w:t>
            </w:r>
          </w:p>
        </w:tc>
        <w:tc>
          <w:tcPr>
            <w:tcW w:w="2451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b/>
                <w:bCs/>
                <w:sz w:val="24"/>
                <w:szCs w:val="24"/>
                <w:lang w:val="uk-UA"/>
              </w:rPr>
              <w:t>Стратегія</w:t>
            </w:r>
          </w:p>
        </w:tc>
      </w:tr>
      <w:tr w:rsidR="00CA616F" w:rsidRPr="00FD621B" w:rsidTr="00730B3E">
        <w:tc>
          <w:tcPr>
            <w:tcW w:w="2268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Забезпечення доступу до якісного та безпечного харчування у закладах освіти шляхом розвитку сучасної інфраструктури їдалень (харчоблоків)</w:t>
            </w:r>
          </w:p>
        </w:tc>
        <w:tc>
          <w:tcPr>
            <w:tcW w:w="2229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Придбання обладнання, створення та модернізація (проведення реконструкції та капітального ремонту) їдалень (харчоблоків) закладів освіти</w:t>
            </w:r>
          </w:p>
        </w:tc>
        <w:tc>
          <w:tcPr>
            <w:tcW w:w="2060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Шкільна освіта</w:t>
            </w:r>
          </w:p>
        </w:tc>
        <w:tc>
          <w:tcPr>
            <w:tcW w:w="2058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Кількість модернізованих їдалень (харчоблоків) у закладах освіти</w:t>
            </w:r>
          </w:p>
        </w:tc>
        <w:tc>
          <w:tcPr>
            <w:tcW w:w="2057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44" w:type="dxa"/>
          </w:tcPr>
          <w:p w:rsidR="00CA616F" w:rsidRPr="00FD621B" w:rsidRDefault="00CA616F" w:rsidP="00F023DB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451" w:type="dxa"/>
          </w:tcPr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>Стратегія реформування системи шкільного харчування на період до 2027 року,</w:t>
            </w:r>
          </w:p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Стратегія розвитку </w:t>
            </w:r>
          </w:p>
          <w:p w:rsidR="00CA616F" w:rsidRPr="00FD621B" w:rsidRDefault="00CA616F" w:rsidP="00DF012D">
            <w:pPr>
              <w:tabs>
                <w:tab w:val="left" w:pos="12476"/>
              </w:tabs>
              <w:spacing w:after="0"/>
              <w:jc w:val="both"/>
              <w:rPr>
                <w:sz w:val="24"/>
                <w:szCs w:val="24"/>
                <w:lang w:val="uk-UA"/>
              </w:rPr>
            </w:pPr>
            <w:r w:rsidRPr="00FD621B">
              <w:rPr>
                <w:sz w:val="24"/>
                <w:szCs w:val="24"/>
                <w:lang w:val="uk-UA"/>
              </w:rPr>
              <w:t xml:space="preserve">Решетилівської міської територіальної громади до 2027 року </w:t>
            </w:r>
          </w:p>
        </w:tc>
      </w:tr>
    </w:tbl>
    <w:p w:rsidR="003E3AF4" w:rsidRDefault="003E3AF4" w:rsidP="00730B3E">
      <w:pPr>
        <w:tabs>
          <w:tab w:val="left" w:pos="12476"/>
        </w:tabs>
        <w:spacing w:after="0"/>
        <w:jc w:val="center"/>
        <w:rPr>
          <w:lang w:val="uk-UA"/>
        </w:rPr>
      </w:pPr>
    </w:p>
    <w:p w:rsidR="00730B3E" w:rsidRDefault="00730B3E" w:rsidP="00730B3E">
      <w:pPr>
        <w:spacing w:after="0"/>
        <w:rPr>
          <w:szCs w:val="28"/>
          <w:lang w:val="uk-UA" w:eastAsia="x-none"/>
        </w:rPr>
      </w:pPr>
      <w:r>
        <w:rPr>
          <w:szCs w:val="28"/>
          <w:lang w:val="uk-UA" w:eastAsia="x-none"/>
        </w:rPr>
        <w:t xml:space="preserve">Начальник відділу </w:t>
      </w:r>
    </w:p>
    <w:p w:rsidR="00730B3E" w:rsidRDefault="00730B3E" w:rsidP="00730B3E">
      <w:pPr>
        <w:spacing w:after="0"/>
        <w:rPr>
          <w:szCs w:val="28"/>
          <w:lang w:val="uk-UA" w:eastAsia="x-none"/>
        </w:rPr>
      </w:pPr>
      <w:r>
        <w:rPr>
          <w:szCs w:val="28"/>
          <w:lang w:val="uk-UA" w:eastAsia="x-none"/>
        </w:rPr>
        <w:t xml:space="preserve">економічного розвитку, торгівлі </w:t>
      </w:r>
    </w:p>
    <w:p w:rsidR="00730B3E" w:rsidRDefault="00730B3E" w:rsidP="00730B3E">
      <w:pPr>
        <w:spacing w:after="0"/>
        <w:rPr>
          <w:szCs w:val="28"/>
          <w:lang w:val="uk-UA" w:eastAsia="x-none"/>
        </w:rPr>
      </w:pPr>
      <w:r>
        <w:rPr>
          <w:szCs w:val="28"/>
          <w:lang w:val="uk-UA" w:eastAsia="x-none"/>
        </w:rPr>
        <w:t>та залучення інвестицій</w:t>
      </w:r>
      <w:r>
        <w:rPr>
          <w:szCs w:val="28"/>
          <w:lang w:val="uk-UA" w:eastAsia="x-none"/>
        </w:rPr>
        <w:tab/>
        <w:t xml:space="preserve">                                          </w:t>
      </w:r>
      <w:r w:rsidR="00531261">
        <w:rPr>
          <w:szCs w:val="28"/>
          <w:lang w:val="uk-UA" w:eastAsia="x-none"/>
        </w:rPr>
        <w:t xml:space="preserve">                                                                            </w:t>
      </w:r>
      <w:bookmarkStart w:id="0" w:name="_GoBack"/>
      <w:bookmarkEnd w:id="0"/>
      <w:r>
        <w:rPr>
          <w:szCs w:val="28"/>
          <w:lang w:val="uk-UA" w:eastAsia="x-none"/>
        </w:rPr>
        <w:t xml:space="preserve">    Андрій РОМАНОВ</w:t>
      </w:r>
    </w:p>
    <w:sectPr w:rsidR="00730B3E" w:rsidSect="00DF012D">
      <w:headerReference w:type="default" r:id="rId7"/>
      <w:pgSz w:w="16838" w:h="11906" w:orient="landscape"/>
      <w:pgMar w:top="1701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F51" w:rsidRDefault="002E4F51" w:rsidP="002E4F51">
      <w:pPr>
        <w:spacing w:after="0"/>
      </w:pPr>
      <w:r>
        <w:separator/>
      </w:r>
    </w:p>
  </w:endnote>
  <w:endnote w:type="continuationSeparator" w:id="0">
    <w:p w:rsidR="002E4F51" w:rsidRDefault="002E4F51" w:rsidP="002E4F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F51" w:rsidRDefault="002E4F51" w:rsidP="002E4F51">
      <w:pPr>
        <w:spacing w:after="0"/>
      </w:pPr>
      <w:r>
        <w:separator/>
      </w:r>
    </w:p>
  </w:footnote>
  <w:footnote w:type="continuationSeparator" w:id="0">
    <w:p w:rsidR="002E4F51" w:rsidRDefault="002E4F51" w:rsidP="002E4F5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9074608"/>
      <w:docPartObj>
        <w:docPartGallery w:val="Page Numbers (Top of Page)"/>
        <w:docPartUnique/>
      </w:docPartObj>
    </w:sdtPr>
    <w:sdtContent>
      <w:p w:rsidR="002E4F51" w:rsidRDefault="002E4F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1261">
          <w:rPr>
            <w:noProof/>
          </w:rPr>
          <w:t>1</w:t>
        </w:r>
        <w:r>
          <w:fldChar w:fldCharType="end"/>
        </w:r>
      </w:p>
    </w:sdtContent>
  </w:sdt>
  <w:p w:rsidR="002E4F51" w:rsidRDefault="002E4F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2A6"/>
    <w:rsid w:val="00147A4E"/>
    <w:rsid w:val="001762A6"/>
    <w:rsid w:val="002B20A1"/>
    <w:rsid w:val="002E4F51"/>
    <w:rsid w:val="002E68E1"/>
    <w:rsid w:val="003E3AF4"/>
    <w:rsid w:val="00531261"/>
    <w:rsid w:val="00541EAF"/>
    <w:rsid w:val="00631EFE"/>
    <w:rsid w:val="00730B3E"/>
    <w:rsid w:val="008624F8"/>
    <w:rsid w:val="00CA616F"/>
    <w:rsid w:val="00D662B0"/>
    <w:rsid w:val="00DF012D"/>
    <w:rsid w:val="00F023DB"/>
    <w:rsid w:val="00FD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A6"/>
    <w:pPr>
      <w:spacing w:after="160" w:line="240" w:lineRule="auto"/>
    </w:pPr>
    <w:rPr>
      <w:rFonts w:ascii="Times New Roman" w:eastAsia="Aptos" w:hAnsi="Times New Roman" w:cs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F5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E4F51"/>
    <w:rPr>
      <w:rFonts w:ascii="Times New Roman" w:eastAsia="Aptos" w:hAnsi="Times New Roman" w:cs="Times New Roman"/>
      <w:kern w:val="2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2E4F5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E4F51"/>
    <w:rPr>
      <w:rFonts w:ascii="Times New Roman" w:eastAsia="Aptos" w:hAnsi="Times New Roman" w:cs="Times New Roman"/>
      <w:kern w:val="2"/>
      <w:sz w:val="2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A6"/>
    <w:pPr>
      <w:spacing w:after="160" w:line="240" w:lineRule="auto"/>
    </w:pPr>
    <w:rPr>
      <w:rFonts w:ascii="Times New Roman" w:eastAsia="Aptos" w:hAnsi="Times New Roman" w:cs="Times New Roman"/>
      <w:kern w:val="2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F51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2E4F51"/>
    <w:rPr>
      <w:rFonts w:ascii="Times New Roman" w:eastAsia="Aptos" w:hAnsi="Times New Roman" w:cs="Times New Roman"/>
      <w:kern w:val="2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2E4F51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2E4F51"/>
    <w:rPr>
      <w:rFonts w:ascii="Times New Roman" w:eastAsia="Aptos" w:hAnsi="Times New Roman" w:cs="Times New Roman"/>
      <w:kern w:val="2"/>
      <w:sz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User-PC7</cp:lastModifiedBy>
  <cp:revision>3</cp:revision>
  <cp:lastPrinted>2025-08-27T12:16:00Z</cp:lastPrinted>
  <dcterms:created xsi:type="dcterms:W3CDTF">2025-08-27T12:57:00Z</dcterms:created>
  <dcterms:modified xsi:type="dcterms:W3CDTF">2025-08-27T12:57:00Z</dcterms:modified>
</cp:coreProperties>
</file>