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F0" w:rsidRDefault="0041479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ЗВІТ</w:t>
      </w:r>
    </w:p>
    <w:p w:rsidR="00C65DF0" w:rsidRDefault="00414798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старости Демидівського старостинського округу</w:t>
      </w:r>
    </w:p>
    <w:p w:rsidR="00C65DF0" w:rsidRDefault="0041479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 рік</w:t>
      </w:r>
    </w:p>
    <w:p w:rsidR="00C65DF0" w:rsidRDefault="00414798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</w:p>
    <w:p w:rsidR="00C65DF0" w:rsidRDefault="00C65DF0">
      <w:pPr>
        <w:pStyle w:val="Standard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C65DF0" w:rsidRDefault="0041479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  <w:tab/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Керуючись Конституцією України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та законами України, актами Президента України, Кабінету Міністрів України, Статутом Решетилівської міської ради, Положенням про старосту та іншими нормативно-правовими актами, що визначають порядок моєї діяльності, звітую про роботу за 2024 рік.</w:t>
      </w:r>
    </w:p>
    <w:p w:rsidR="00C65DF0" w:rsidRDefault="0041479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 01.12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.2022 року затверджений старостою Демидівського старостинського округу.</w:t>
      </w:r>
    </w:p>
    <w:p w:rsidR="00C65DF0" w:rsidRDefault="00414798">
      <w:pPr>
        <w:pStyle w:val="Standard"/>
        <w:shd w:val="clear" w:color="auto" w:fill="FFFFFF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До моєї зони відповідальності відносять такі сільські населені пункти: Демидівка, Пустовари, Литвинівка, Нова Диканька, Андріївка, Кукобівка, Долина, Лютівка.</w:t>
      </w:r>
    </w:p>
    <w:p w:rsidR="00C65DF0" w:rsidRDefault="0041479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color w:val="FF4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старостаті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працюють: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староста, два діловоди, інспектор відділу земельних ресурсів та охорони навколишнього середовища, три працівники з благоустрою.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Кількість домогосподарств 756 з них: с.Демидівка-248,с.Пустовари-117,с.Литвинівка-103,с.НоваДиканька-31,с.Андріївка-21,с.Долина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-95, с.Кукобівка-76,с. Лютівка-65.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 xml:space="preserve">На територію старостату прибуло за 2024 рік - 9 людей зі статусом ВПО.  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Населення складає-1456 осіб :з них  дорослі -1255, діти -201, а також ВПО-41, інші пільгові категорії особи з інвалідністю-27, діти з інвалідністю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-3.Проживає 15 багатодітних сімей, в яких виховують 43 дитини.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території округу  функціонують заклади: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Освіти: Демидівська ЗОШ-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ступенів,садочок ,,Берізка”,Кукобівська філія 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ступенів з дошкільним підрозділом Покровського ОЗЗСО 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444444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ступенів Решетилівської міської ради.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Культури: Кукобівка-будинок культури, бібліотека, Демидівка- клуб, бібліотека.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Соціальний заклад:КНП ,,Центр ПМСД Решетилівської міської ради АЗПСМ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с.Демимдівка”.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Магазини:с. Демидівка-3,с. Пустовари-1, с. Кукобівка -1, с. Долина-1 заклад торгівлі,Литвинівка, Нова диканька наявна виїздна торгівля.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Наявне автобусне сполучення: Полтава-Пустовари (через Демидівку, Литвинівку кожного дня) та Решетилівка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— Пустовари (через Демидівку, Литвинівку, Кукобівку понеділок,четвер).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780373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селах таких як Кукобівка, Долина, Лютівка організовано централізований збір ТПВ   Покровський комунгосп”.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За звітний період: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- здійснено особистих прийомів громадян-15, здійснено в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иїзних прийомів-9.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-надано послуг: адміністративних (видано довідок -258, характеристик -10, складено актів-183.) Сформовано через ,,Соціальну громаду” та Єдину Інформаційну Систему Соціальної Сфери - 191 справу(для різних видів соціальних допомог та субси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дій),видано 9 довідок ВПО, оформлено 53 пільги на житлово-комунальні послуги.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-замінено 1 посвідчення потерпілих від аварії на ЧАЕС.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Оформлено: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матеріальних допомог - 43 військовослужбовцям, 6- сім’ям загиблих та зниклих безвісти;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-забезпечення засобами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реабілітації-3 людям;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видано 6 посвідчень батькам та дітям із багатодітних сімей;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-оформлено 31 документ на отримання компенсації за розміщення ВПО;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-здійснено -17 нотаріальних дій;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-до відділу земельних ресурсів та охорони навколишнього середовища через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Демидівський  округ надійшло 73 звернення по земельних питаннях;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здійснювався погосподарський облік, забезпечувалось збереження архівних документів тривалого (понад 10 років) терміну зберігання, вівся облік пільгових категорій громадян;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надавалась доп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омога жителям у підготовці  документів, що подаються до органів місцевого самоврядування та місцевих органів виконавчої влади;</w:t>
      </w:r>
    </w:p>
    <w:p w:rsidR="00C65DF0" w:rsidRDefault="00414798">
      <w:pPr>
        <w:pStyle w:val="Textbody"/>
        <w:shd w:val="clear" w:color="auto" w:fill="FFFFFF"/>
        <w:tabs>
          <w:tab w:val="left" w:pos="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-брав участь в організації виконання рішень Решетилівської міської ради, її виконавчого комітету, розпоряджень Решетилівського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міського  голови ;</w:t>
      </w:r>
    </w:p>
    <w:p w:rsidR="00C65DF0" w:rsidRDefault="00414798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-здійснювався контроль за станом благоустрою Демидівського округу 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-вівся облік військовозобов'язаних, здійснено оповіщення- 89 військовозобов’язаних.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За 2024 рік проведені (благоустрій та фарбування дитячих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майданчиків,) ремонтні роботи пам”ятників,організовано суботники по прибиранню території,  прибиранню кладовищ.</w:t>
      </w: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ab/>
        <w:t>Враховуючи розпочату війну російської федерації проти України на території старостату було організовано: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створення волонтерського руху;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с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творення умов для прийняття ВПО;</w:t>
      </w:r>
    </w:p>
    <w:p w:rsidR="00C65DF0" w:rsidRDefault="00414798">
      <w:pPr>
        <w:pStyle w:val="Standard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збирання та передача продуктів та ліків.</w:t>
      </w:r>
    </w:p>
    <w:p w:rsidR="00C65DF0" w:rsidRDefault="00414798">
      <w:pPr>
        <w:pStyle w:val="Textbody"/>
        <w:shd w:val="clear" w:color="auto" w:fill="FFFFFF"/>
        <w:tabs>
          <w:tab w:val="left" w:pos="1140"/>
        </w:tabs>
        <w:spacing w:after="15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звітний період виконував письмові та усні доручення міської ради, виконавчого комітету, міського голови. Брав участь у пленарних засіданнях міської  ради та засіданнях її постій</w:t>
      </w:r>
      <w:r>
        <w:rPr>
          <w:rFonts w:ascii="Times New Roman" w:hAnsi="Times New Roman" w:cs="Times New Roman"/>
          <w:sz w:val="28"/>
          <w:szCs w:val="28"/>
          <w:lang w:eastAsia="ru-RU"/>
        </w:rPr>
        <w:t>них комісій з правом дорадчого голосу та засіданнях виконавчого комітету міської ради (за потреби). Співпрацював з відділами виконавчого комітету/виконавчими органами ради та надавав всю необхідну інформацію, що стосувалася підвідомчої території.</w:t>
      </w:r>
    </w:p>
    <w:p w:rsidR="00C65DF0" w:rsidRDefault="00414798">
      <w:pPr>
        <w:pStyle w:val="PreformattedText"/>
        <w:shd w:val="clear" w:color="auto" w:fill="FFFFFF"/>
        <w:spacing w:after="150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Створював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умови</w:t>
      </w:r>
      <w:r>
        <w:rPr>
          <w:rFonts w:ascii="Times New Roman" w:hAnsi="Times New Roman" w:cs="Times New Roman"/>
          <w:sz w:val="28"/>
          <w:szCs w:val="28"/>
        </w:rPr>
        <w:t xml:space="preserve">  для  недопущення  на  території   Демидівського старостату  дій  чи   бездіяльності,  які  можуть  зашкодити  інтересам  жителів. Дотримувався  правил  службової  етики,  встановлених  відповідними  актами  міської  ради. Працюю  для  покращення  у</w:t>
      </w:r>
      <w:r>
        <w:rPr>
          <w:rFonts w:ascii="Times New Roman" w:hAnsi="Times New Roman" w:cs="Times New Roman"/>
          <w:sz w:val="28"/>
          <w:szCs w:val="28"/>
        </w:rPr>
        <w:t xml:space="preserve">мов  проживання  жителів  сіл  старостату,  надання  їм  необхідної  допомоги.  </w:t>
      </w:r>
    </w:p>
    <w:p w:rsidR="00C65DF0" w:rsidRDefault="00C65DF0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5DF0" w:rsidRDefault="00C65DF0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65DF0" w:rsidRDefault="00414798">
      <w:pPr>
        <w:pStyle w:val="Standard"/>
        <w:shd w:val="clear" w:color="auto" w:fill="FFFFFF"/>
        <w:spacing w:after="150"/>
        <w:jc w:val="both"/>
        <w:rPr>
          <w:rFonts w:hint="eastAsia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Староста                                                                                 Василь  МИКИТЕНКО</w:t>
      </w:r>
    </w:p>
    <w:p w:rsidR="00C65DF0" w:rsidRDefault="00C65DF0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C65DF0" w:rsidRDefault="00C65DF0">
      <w:pPr>
        <w:pStyle w:val="Standard"/>
        <w:shd w:val="clear" w:color="auto" w:fill="FFFFFF"/>
        <w:spacing w:after="150"/>
        <w:ind w:firstLine="708"/>
        <w:jc w:val="both"/>
        <w:rPr>
          <w:rFonts w:ascii="Times New Roman" w:hAnsi="Times New Roman"/>
          <w:b/>
          <w:bCs/>
          <w:color w:val="C9211E"/>
          <w:sz w:val="28"/>
          <w:szCs w:val="28"/>
        </w:rPr>
      </w:pPr>
    </w:p>
    <w:sectPr w:rsidR="00C65DF0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98" w:rsidRDefault="00414798">
      <w:pPr>
        <w:rPr>
          <w:rFonts w:hint="eastAsia"/>
        </w:rPr>
      </w:pPr>
      <w:r>
        <w:separator/>
      </w:r>
    </w:p>
  </w:endnote>
  <w:endnote w:type="continuationSeparator" w:id="0">
    <w:p w:rsidR="00414798" w:rsidRDefault="00414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98" w:rsidRDefault="004147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14798" w:rsidRDefault="004147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42B"/>
    <w:multiLevelType w:val="multilevel"/>
    <w:tmpl w:val="C1FE9E3E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">
    <w:nsid w:val="1FAC52ED"/>
    <w:multiLevelType w:val="multilevel"/>
    <w:tmpl w:val="28BAD710"/>
    <w:styleLink w:val="WWNum6"/>
    <w:lvl w:ilvl="0">
      <w:start w:val="1"/>
      <w:numFmt w:val="decimal"/>
      <w:lvlText w:val="%1)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4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6)"/>
      <w:lvlJc w:val="left"/>
      <w:rPr>
        <w:sz w:val="28"/>
        <w:szCs w:val="28"/>
      </w:rPr>
    </w:lvl>
    <w:lvl w:ilvl="6">
      <w:start w:val="1"/>
      <w:numFmt w:val="decimal"/>
      <w:lvlText w:val="%7)"/>
      <w:lvlJc w:val="left"/>
      <w:rPr>
        <w:sz w:val="28"/>
        <w:szCs w:val="28"/>
      </w:rPr>
    </w:lvl>
    <w:lvl w:ilvl="7">
      <w:start w:val="1"/>
      <w:numFmt w:val="decimal"/>
      <w:lvlText w:val="%8)"/>
      <w:lvlJc w:val="left"/>
      <w:rPr>
        <w:sz w:val="28"/>
        <w:szCs w:val="28"/>
      </w:rPr>
    </w:lvl>
    <w:lvl w:ilvl="8">
      <w:start w:val="1"/>
      <w:numFmt w:val="decimal"/>
      <w:lvlText w:val="%9)"/>
      <w:lvlJc w:val="left"/>
      <w:rPr>
        <w:sz w:val="28"/>
        <w:szCs w:val="28"/>
      </w:rPr>
    </w:lvl>
  </w:abstractNum>
  <w:abstractNum w:abstractNumId="2">
    <w:nsid w:val="25445929"/>
    <w:multiLevelType w:val="multilevel"/>
    <w:tmpl w:val="AAE6AAF0"/>
    <w:styleLink w:val="WWNum2"/>
    <w:lvl w:ilvl="0">
      <w:numFmt w:val="bullet"/>
      <w:lvlText w:val="-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5DF0"/>
    <w:rsid w:val="000D02A4"/>
    <w:rsid w:val="00414798"/>
    <w:rsid w:val="00C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val="ru-RU" w:eastAsia="ru-RU" w:bidi="ar-SA"/>
    </w:rPr>
  </w:style>
  <w:style w:type="paragraph" w:customStyle="1" w:styleId="Textbodyuser">
    <w:name w:val="Text body (user)"/>
    <w:pPr>
      <w:widowControl w:val="0"/>
      <w:suppressAutoHyphens/>
      <w:spacing w:after="140" w:line="276" w:lineRule="auto"/>
      <w:textAlignment w:val="auto"/>
    </w:pPr>
    <w:rPr>
      <w:rFonts w:cs="Liberation Serif"/>
    </w:rPr>
  </w:style>
  <w:style w:type="paragraph" w:customStyle="1" w:styleId="PreformattedText">
    <w:name w:val="Preformatted Text"/>
    <w:basedOn w:val="Standard"/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0">
    <w:name w:val="ListLabel 20"/>
    <w:rPr>
      <w:sz w:val="28"/>
      <w:szCs w:val="28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ListLabel22">
    <w:name w:val="ListLabel 22"/>
    <w:rPr>
      <w:sz w:val="28"/>
      <w:szCs w:val="28"/>
    </w:rPr>
  </w:style>
  <w:style w:type="character" w:customStyle="1" w:styleId="ListLabel23">
    <w:name w:val="ListLabel 23"/>
    <w:rPr>
      <w:sz w:val="28"/>
      <w:szCs w:val="28"/>
    </w:rPr>
  </w:style>
  <w:style w:type="character" w:customStyle="1" w:styleId="ListLabel24">
    <w:name w:val="ListLabel 24"/>
    <w:rPr>
      <w:sz w:val="28"/>
      <w:szCs w:val="28"/>
    </w:rPr>
  </w:style>
  <w:style w:type="character" w:customStyle="1" w:styleId="ListLabel25">
    <w:name w:val="ListLabel 25"/>
    <w:rPr>
      <w:sz w:val="28"/>
      <w:szCs w:val="28"/>
    </w:rPr>
  </w:style>
  <w:style w:type="character" w:customStyle="1" w:styleId="ListLabel26">
    <w:name w:val="ListLabel 26"/>
    <w:rPr>
      <w:sz w:val="28"/>
      <w:szCs w:val="28"/>
    </w:rPr>
  </w:style>
  <w:style w:type="character" w:customStyle="1" w:styleId="ListLabel27">
    <w:name w:val="ListLabel 27"/>
    <w:rPr>
      <w:sz w:val="28"/>
      <w:szCs w:val="28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6">
    <w:name w:val="WWNum6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3048</Words>
  <Characters>1738</Characters>
  <Application>Microsoft Office Word</Application>
  <DocSecurity>0</DocSecurity>
  <Lines>14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2025-01-22T07:59:00Z</cp:lastPrinted>
  <dcterms:created xsi:type="dcterms:W3CDTF">2023-04-11T11:46:00Z</dcterms:created>
  <dcterms:modified xsi:type="dcterms:W3CDTF">2025-02-04T07:37:00Z</dcterms:modified>
</cp:coreProperties>
</file>