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2948940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54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(с. Потічок, с. Нагірне)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сіл Потічок, Нагірне.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   Положення    про     громадське     пасовище    (с. Потічок, с. Нагірне).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>5324284200:00:010:0128</w:t>
      </w:r>
      <w:r>
        <w:rPr>
          <w:b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площею  4,4836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>серпня 2019 №</w:t>
      </w:r>
      <w:r>
        <w:rPr>
          <w:color w:val="000000"/>
          <w:sz w:val="28"/>
          <w:szCs w:val="28"/>
        </w:rPr>
        <w:t>654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Потічок, с. Нагірне)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  <w:bookmarkStart w:id="1" w:name="_GoBack"/>
      <w:bookmarkEnd w:id="1"/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B0F7-C5F0-40C9-89F4-0BDC90C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2</Pages>
  <Words>416</Words>
  <Characters>3092</Characters>
  <CharactersWithSpaces>3823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2019-08-09T05:29:00Z</dcterms:created>
  <dc:creator>User</dc:creator>
  <dc:description/>
  <dc:language>uk-UA</dc:language>
  <cp:lastModifiedBy/>
  <cp:lastPrinted>2019-08-12T11:14:00Z</cp:lastPrinted>
  <dcterms:modified xsi:type="dcterms:W3CDTF">2019-08-21T15:56:26Z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