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F" w:rsidRDefault="00743A35">
      <w:pPr>
        <w:pStyle w:val="Standard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2792880</wp:posOffset>
            </wp:positionH>
            <wp:positionV relativeFrom="paragraph">
              <wp:posOffset>-268560</wp:posOffset>
            </wp:positionV>
            <wp:extent cx="421560" cy="598320"/>
            <wp:effectExtent l="0" t="0" r="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204" t="-2268" r="-3204" b="-2268"/>
                    <a:stretch>
                      <a:fillRect/>
                    </a:stretch>
                  </pic:blipFill>
                  <pic:spPr>
                    <a:xfrm>
                      <a:off x="0" y="0"/>
                      <a:ext cx="421560" cy="598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D1C5F" w:rsidRDefault="00743A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РЕШЕТИЛІВСЬКА МІСЬКА РАДА</w:t>
      </w:r>
    </w:p>
    <w:p w:rsidR="005D1C5F" w:rsidRDefault="00743A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ПОЛТАВСЬКОЇ ОБЛАСТІ</w:t>
      </w:r>
    </w:p>
    <w:p w:rsidR="005D1C5F" w:rsidRDefault="00743A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(тридцять друга позачергова сесія восьмого скликання)</w:t>
      </w:r>
    </w:p>
    <w:p w:rsidR="005D1C5F" w:rsidRDefault="005D1C5F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5D1C5F" w:rsidRDefault="00743A35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РІШЕННЯ</w:t>
      </w:r>
    </w:p>
    <w:p w:rsidR="005D1C5F" w:rsidRDefault="005D1C5F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D1C5F" w:rsidRDefault="00743A35">
      <w:pPr>
        <w:pStyle w:val="Standard"/>
        <w:tabs>
          <w:tab w:val="left" w:pos="709"/>
        </w:tabs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28 квітня  2023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</w:t>
      </w:r>
      <w:r w:rsidRPr="00985B8B">
        <w:rPr>
          <w:rFonts w:ascii="Times New Roman" w:hAnsi="Times New Roman"/>
          <w:sz w:val="28"/>
          <w:szCs w:val="28"/>
          <w:lang w:val="ru-RU"/>
        </w:rPr>
        <w:t>379</w:t>
      </w:r>
      <w:r>
        <w:rPr>
          <w:rFonts w:ascii="Times New Roman" w:hAnsi="Times New Roman"/>
          <w:sz w:val="28"/>
          <w:szCs w:val="28"/>
        </w:rPr>
        <w:t>-32-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5D1C5F" w:rsidRDefault="005D1C5F">
      <w:pPr>
        <w:pStyle w:val="Standard"/>
        <w:rPr>
          <w:rFonts w:ascii="Times New Roman" w:hAnsi="Times New Roman"/>
          <w:sz w:val="28"/>
          <w:szCs w:val="28"/>
        </w:rPr>
      </w:pPr>
    </w:p>
    <w:p w:rsidR="005D1C5F" w:rsidRDefault="00743A35">
      <w:pPr>
        <w:pStyle w:val="Standard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Про звіт старости </w:t>
      </w:r>
      <w:proofErr w:type="spellStart"/>
      <w:r>
        <w:rPr>
          <w:rFonts w:ascii="Times New Roman" w:hAnsi="Times New Roman"/>
          <w:sz w:val="28"/>
          <w:szCs w:val="28"/>
        </w:rPr>
        <w:t>Потічанського</w:t>
      </w:r>
      <w:proofErr w:type="spellEnd"/>
    </w:p>
    <w:p w:rsidR="005D1C5F" w:rsidRDefault="00743A35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</w:p>
    <w:p w:rsidR="005D1C5F" w:rsidRDefault="00743A35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2022 рік</w:t>
      </w:r>
    </w:p>
    <w:p w:rsidR="005D1C5F" w:rsidRDefault="005D1C5F">
      <w:pPr>
        <w:pStyle w:val="Standard"/>
        <w:jc w:val="both"/>
        <w:rPr>
          <w:rFonts w:ascii="Times New Roman" w:hAnsi="Times New Roman"/>
          <w:bCs/>
          <w:sz w:val="28"/>
          <w:szCs w:val="28"/>
        </w:rPr>
      </w:pPr>
    </w:p>
    <w:p w:rsidR="005D1C5F" w:rsidRDefault="00743A35">
      <w:pPr>
        <w:pStyle w:val="Standard"/>
        <w:ind w:firstLine="709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Керуючись частиною </w:t>
      </w:r>
      <w:r>
        <w:rPr>
          <w:rFonts w:ascii="Times New Roman" w:hAnsi="Times New Roman"/>
          <w:color w:val="000000"/>
          <w:sz w:val="28"/>
          <w:szCs w:val="28"/>
        </w:rPr>
        <w:t>шостою 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Положенням про старосту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 xml:space="preserve">, затвердженого рішенням Решетилівської міської ради від 31.01.2023 року № </w:t>
      </w:r>
      <w:r>
        <w:rPr>
          <w:rFonts w:ascii="Times New Roman" w:hAnsi="Times New Roman"/>
          <w:sz w:val="28"/>
          <w:szCs w:val="28"/>
        </w:rPr>
        <w:t>1279</w:t>
      </w:r>
      <w:r>
        <w:rPr>
          <w:rFonts w:ascii="Times New Roman" w:hAnsi="Times New Roman"/>
          <w:color w:val="000000"/>
          <w:sz w:val="28"/>
          <w:szCs w:val="28"/>
        </w:rPr>
        <w:t>-29</w:t>
      </w:r>
      <w:r>
        <w:rPr>
          <w:rFonts w:ascii="Times New Roman" w:hAnsi="Times New Roman"/>
          <w:sz w:val="28"/>
          <w:szCs w:val="28"/>
        </w:rPr>
        <w:t>-VIIІ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(29 позачергова сесія),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ешетилівська місь</w:t>
      </w:r>
      <w:r>
        <w:rPr>
          <w:rFonts w:ascii="Times New Roman" w:hAnsi="Times New Roman"/>
          <w:sz w:val="28"/>
          <w:szCs w:val="28"/>
        </w:rPr>
        <w:t>ка рада</w:t>
      </w:r>
      <w:r>
        <w:rPr>
          <w:rStyle w:val="StrongEmphasis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Решетилівська міська рада</w:t>
      </w:r>
    </w:p>
    <w:p w:rsidR="005D1C5F" w:rsidRDefault="00743A35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5D1C5F" w:rsidRDefault="00743A35">
      <w:pPr>
        <w:pStyle w:val="Standard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5D1C5F" w:rsidRDefault="00743A35">
      <w:pPr>
        <w:pStyle w:val="Standard"/>
        <w:jc w:val="both"/>
        <w:rPr>
          <w:rFonts w:hint="eastAsia"/>
        </w:rPr>
      </w:pPr>
      <w:r>
        <w:rPr>
          <w:rStyle w:val="a8"/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Звіт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старости </w:t>
      </w:r>
      <w:proofErr w:type="spellStart"/>
      <w:r>
        <w:rPr>
          <w:rFonts w:ascii="Times New Roman" w:hAnsi="Times New Roman"/>
          <w:sz w:val="28"/>
          <w:szCs w:val="28"/>
        </w:rPr>
        <w:t>Потічанського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Мищенка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Віталія Івановича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 2022 рік прийняти до відома (додається).</w:t>
      </w:r>
    </w:p>
    <w:p w:rsidR="005D1C5F" w:rsidRDefault="005D1C5F">
      <w:pPr>
        <w:pStyle w:val="Standard"/>
        <w:tabs>
          <w:tab w:val="left" w:pos="0"/>
        </w:tabs>
        <w:jc w:val="both"/>
        <w:rPr>
          <w:rFonts w:hint="eastAsia"/>
        </w:rPr>
      </w:pPr>
    </w:p>
    <w:p w:rsidR="005D1C5F" w:rsidRDefault="00743A35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D1C5F" w:rsidRDefault="005D1C5F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D1C5F" w:rsidRDefault="005D1C5F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D1C5F" w:rsidRDefault="005D1C5F">
      <w:pPr>
        <w:pStyle w:val="a6"/>
        <w:tabs>
          <w:tab w:val="left" w:pos="0"/>
        </w:tabs>
        <w:ind w:left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5D1C5F" w:rsidRDefault="00743A35">
      <w:pPr>
        <w:pStyle w:val="Textbody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О.А.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Дядюнова</w:t>
      </w:r>
      <w:proofErr w:type="spellEnd"/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D1C5F" w:rsidRDefault="005D1C5F">
      <w:pPr>
        <w:pStyle w:val="Standard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2113"/>
        <w:gridCol w:w="4320"/>
      </w:tblGrid>
      <w:tr w:rsidR="005D1C5F">
        <w:tblPrEx>
          <w:tblCellMar>
            <w:top w:w="0" w:type="dxa"/>
            <w:bottom w:w="0" w:type="dxa"/>
          </w:tblCellMar>
        </w:tblPrEx>
        <w:tc>
          <w:tcPr>
            <w:tcW w:w="32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5F" w:rsidRDefault="005D1C5F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211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5F" w:rsidRDefault="005D1C5F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3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1C5F" w:rsidRDefault="00743A35">
            <w:pPr>
              <w:pStyle w:val="TableContents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Додаток</w:t>
            </w:r>
          </w:p>
          <w:p w:rsidR="005D1C5F" w:rsidRDefault="00743A35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рішення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Решетилівської міської ради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скликання</w:t>
            </w:r>
          </w:p>
          <w:p w:rsidR="005D1C5F" w:rsidRDefault="00743A35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 квітня 2023 року №</w:t>
            </w:r>
            <w:r w:rsidRPr="00985B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1379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-32-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</w:p>
          <w:p w:rsidR="005D1C5F" w:rsidRDefault="00743A35">
            <w:pPr>
              <w:pStyle w:val="TableContents"/>
              <w:rPr>
                <w:rFonts w:hint="eastAsia"/>
              </w:rPr>
            </w:pPr>
            <w:r w:rsidRPr="00985B8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(32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позачергова сесія)</w:t>
            </w:r>
          </w:p>
        </w:tc>
      </w:tr>
    </w:tbl>
    <w:p w:rsidR="005D1C5F" w:rsidRDefault="005D1C5F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D1C5F" w:rsidRDefault="00743A35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ЗВІТ</w:t>
      </w:r>
    </w:p>
    <w:p w:rsidR="005D1C5F" w:rsidRDefault="00743A35">
      <w:pPr>
        <w:pStyle w:val="Standarduser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старости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Потічанського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округу</w:t>
      </w:r>
    </w:p>
    <w:p w:rsidR="005D1C5F" w:rsidRDefault="00743A35">
      <w:pPr>
        <w:pStyle w:val="Standarduser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2022 рік</w:t>
      </w:r>
    </w:p>
    <w:p w:rsidR="005D1C5F" w:rsidRDefault="00743A35">
      <w:pPr>
        <w:pStyle w:val="Standarduser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Керуючись Конституцією України та законами України, актами Президента України, постановами Кабінету Міністрів України,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Статутом Решетилівської міської </w:t>
      </w:r>
      <w:bookmarkStart w:id="1" w:name="__DdeLink__12870_467717164"/>
      <w:r>
        <w:rPr>
          <w:rFonts w:ascii="Times New Roman" w:hAnsi="Times New Roman"/>
          <w:sz w:val="28"/>
          <w:szCs w:val="28"/>
          <w:lang w:eastAsia="ru-RU"/>
        </w:rPr>
        <w:t>територіальної громади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>, Положенням про старосту та іншими нормативно-правовими актами, що визначають порядок моєї діяльності, звітую про роботу за 2022 рік.</w:t>
      </w:r>
    </w:p>
    <w:p w:rsidR="005D1C5F" w:rsidRDefault="00743A35">
      <w:pPr>
        <w:pStyle w:val="Standarduser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посаді старости працюю з 16.12.2020 року, а</w:t>
      </w:r>
      <w:r>
        <w:t xml:space="preserve"> з</w:t>
      </w:r>
      <w:r>
        <w:rPr>
          <w:rFonts w:ascii="Times New Roman" w:hAnsi="Times New Roman"/>
          <w:sz w:val="28"/>
          <w:szCs w:val="28"/>
          <w:lang w:eastAsia="ru-RU"/>
        </w:rPr>
        <w:t xml:space="preserve"> 01.12.2022 року з</w:t>
      </w:r>
      <w:r>
        <w:rPr>
          <w:rFonts w:ascii="Times New Roman" w:hAnsi="Times New Roman"/>
          <w:sz w:val="28"/>
          <w:szCs w:val="28"/>
          <w:lang w:eastAsia="ru-RU"/>
        </w:rPr>
        <w:t xml:space="preserve">атверджений старостою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Потічанського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округу. До моєї зони відповідальності відносяться такі сільські населені пункти: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Бузинівщина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Ганжі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Лиман Перший, Миколаївка, Мирне,Нагірне, Пасічники, Потічок, Сені, Тури,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Хоружі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Шкурупіївка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D1C5F" w:rsidRDefault="00743A35">
      <w:pPr>
        <w:pStyle w:val="Standarduser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старос</w:t>
      </w:r>
      <w:r>
        <w:rPr>
          <w:rFonts w:ascii="Times New Roman" w:hAnsi="Times New Roman"/>
          <w:sz w:val="28"/>
          <w:szCs w:val="28"/>
          <w:lang w:eastAsia="ru-RU"/>
        </w:rPr>
        <w:t>таті працюють: староста, два діловода, землевпорядник, два працівники з благоустрою на ½ ставки.</w:t>
      </w:r>
    </w:p>
    <w:p w:rsidR="005D1C5F" w:rsidRDefault="00743A35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Станом на 01.01.202</w:t>
      </w:r>
      <w:r w:rsidRPr="00985B8B">
        <w:rPr>
          <w:rFonts w:ascii="Times New Roman" w:hAnsi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року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території сіл зареєстровано 1542 чол. В            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Бузинівщина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4чол.,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Ганжі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70 чол., Лиман Перший – 254чол., с. Микола</w:t>
      </w:r>
      <w:r>
        <w:rPr>
          <w:rFonts w:ascii="Times New Roman" w:hAnsi="Times New Roman"/>
          <w:sz w:val="28"/>
          <w:szCs w:val="28"/>
          <w:lang w:eastAsia="ru-RU"/>
        </w:rPr>
        <w:t xml:space="preserve">ївка – 154чол., с. Мирне – 7чол., Нагірне – 6чол., Пасічники – 215чол., Потічок – 260чол., с. Сені – 151чол., с. Тури – 161чол.,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Хоружі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46чол.,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Шкурупіївка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214чол., з них: дорослі - 1179, діти -363, На території старостату зареєстровано учасників</w:t>
      </w:r>
      <w:r>
        <w:rPr>
          <w:rFonts w:ascii="Times New Roman" w:hAnsi="Times New Roman"/>
          <w:sz w:val="28"/>
          <w:szCs w:val="28"/>
          <w:lang w:eastAsia="ru-RU"/>
        </w:rPr>
        <w:t xml:space="preserve"> АТО та УБД – 28 чол., багатодітних сімей – 9, сімей що знаходяться в складних сімейних обставинах – 5,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звітний період померло 20 чоловік, народилась 5 дітей.</w:t>
      </w:r>
    </w:p>
    <w:p w:rsidR="005D1C5F" w:rsidRDefault="00743A35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Кількість військовослужбовців, які захищають Україну від російських загарбників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Потічанськ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громаді – 18,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Першо-Лиманській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громаді – 21. На жаль 2 загиблих, 1 безвісти зниклий.</w:t>
      </w:r>
    </w:p>
    <w:p w:rsidR="005D1C5F" w:rsidRDefault="00743A35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 селі Потічок працює сільський будинок культури-філія, сільська бібліотека-філія, фельдшерський пункт, магазин  ПП ,,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Федірець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”. На території села є школа. У селі М</w:t>
      </w:r>
      <w:r>
        <w:rPr>
          <w:rFonts w:ascii="Times New Roman" w:hAnsi="Times New Roman"/>
          <w:sz w:val="28"/>
          <w:szCs w:val="28"/>
          <w:lang w:eastAsia="ru-RU"/>
        </w:rPr>
        <w:t>иколаївка є сільський клуб-філія, магазин ТОВ ,,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Агротехсервіс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”. У селі Пасічники є сільський клуб-філія. В с. Лиман Перший є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сільський будинок культури-філія та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сільська бібліотека-філія, а також три торгових точки, в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Шкурупіївці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є сільський клуб-філія.</w:t>
      </w:r>
      <w:r>
        <w:rPr>
          <w:rFonts w:ascii="Times New Roman" w:hAnsi="Times New Roman"/>
          <w:sz w:val="28"/>
          <w:szCs w:val="28"/>
          <w:lang w:eastAsia="ru-RU"/>
        </w:rPr>
        <w:t xml:space="preserve"> Всі села старостату обслуговуються авто лавками. У листопаді 2022 року було зачинені всі поштові відділення і на даний час населення наших сіл обслуговується пересувним відділенням поштового зв'язку, яке надає різні послуги та працює один раз на тиждень у</w:t>
      </w:r>
      <w:r>
        <w:rPr>
          <w:rFonts w:ascii="Times New Roman" w:hAnsi="Times New Roman"/>
          <w:sz w:val="28"/>
          <w:szCs w:val="28"/>
          <w:lang w:eastAsia="ru-RU"/>
        </w:rPr>
        <w:t xml:space="preserve"> кожному селі. Наявне автобусне сполучення з м. Решетилівка двічі на тиждень, по два рейси, а в Лимані Першому діє автобусний рейс до м. Полтави щоденно та тричі на день.</w:t>
      </w:r>
    </w:p>
    <w:p w:rsidR="005D1C5F" w:rsidRDefault="00743A35">
      <w:pPr>
        <w:pStyle w:val="Standarduser"/>
        <w:shd w:val="clear" w:color="auto" w:fill="FFFFFF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селах, таких як с. Миколаївка, с. Пасічники та с. Потічок, організовано централізо</w:t>
      </w:r>
      <w:r>
        <w:rPr>
          <w:rFonts w:ascii="Times New Roman" w:hAnsi="Times New Roman"/>
          <w:sz w:val="28"/>
          <w:szCs w:val="28"/>
          <w:lang w:eastAsia="ru-RU"/>
        </w:rPr>
        <w:t xml:space="preserve">ваний збір </w:t>
      </w:r>
      <w:r>
        <w:rPr>
          <w:rFonts w:ascii="Times New Roman" w:hAnsi="Times New Roman"/>
          <w:sz w:val="28"/>
          <w:szCs w:val="28"/>
          <w:lang w:eastAsia="ru-RU"/>
        </w:rPr>
        <w:t>твердих побутових відходів</w:t>
      </w:r>
      <w:r>
        <w:rPr>
          <w:rFonts w:ascii="Times New Roman" w:hAnsi="Times New Roman"/>
          <w:sz w:val="28"/>
          <w:szCs w:val="28"/>
          <w:lang w:eastAsia="ru-RU"/>
        </w:rPr>
        <w:t xml:space="preserve"> - ПП ,,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Житлосервіс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”.</w:t>
      </w:r>
    </w:p>
    <w:p w:rsidR="005D1C5F" w:rsidRDefault="00743A35">
      <w:pPr>
        <w:pStyle w:val="Standarduser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За звітний період: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здійснено особистих прийомів громадян - 300, здійснено виїзних прийомів - 150.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надано послуг: адміністративних (видано довідок, характеристик, складено актів) 300, </w:t>
      </w:r>
      <w:r>
        <w:rPr>
          <w:rFonts w:ascii="Times New Roman" w:hAnsi="Times New Roman"/>
          <w:sz w:val="28"/>
          <w:szCs w:val="28"/>
          <w:lang w:eastAsia="ru-RU"/>
        </w:rPr>
        <w:t>соціальних (направлено/влаштовано осіб в соціальні заклади, сформовано через ,,Соціальну громаду” та передано 190 справ для різних видів соціальних допомог), передано на матеріально-грошову допомогу до виконавчого комітету Решетилівської міської ради  – 10</w:t>
      </w:r>
      <w:r>
        <w:rPr>
          <w:rFonts w:ascii="Times New Roman" w:hAnsi="Times New Roman"/>
          <w:sz w:val="28"/>
          <w:szCs w:val="28"/>
          <w:lang w:eastAsia="ru-RU"/>
        </w:rPr>
        <w:t xml:space="preserve"> справ.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здійснювався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погосподарський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облік, забезпечувалось збереження архівних документів тривалого (понад 10 років) терміну зберігання, вівся облік пільгових категорій громадян.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надавалась допомога жителям у підготовці  документів, що подаються до ор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ганів місцевого самоврядування та місцевих органів виконавчої влади.</w:t>
      </w:r>
    </w:p>
    <w:p w:rsidR="005D1C5F" w:rsidRDefault="00743A35">
      <w:pPr>
        <w:pStyle w:val="Textbodyuser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брав участь в організації виконання рішень Решетилівської міської ради, її виконавчого комітету, розпоряджень Решетилівського міського голови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Потічанського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старостату та з </w:t>
      </w:r>
      <w:r>
        <w:rPr>
          <w:rFonts w:ascii="Times New Roman" w:hAnsi="Times New Roman" w:cs="Times New Roman"/>
          <w:sz w:val="28"/>
          <w:szCs w:val="28"/>
          <w:lang w:eastAsia="ru-RU"/>
        </w:rPr>
        <w:t>грудня 2022 року і на територіях приєднаних до старостату сіл;</w:t>
      </w:r>
    </w:p>
    <w:p w:rsidR="005D1C5F" w:rsidRDefault="00743A35">
      <w:pPr>
        <w:pStyle w:val="Textbodyuser"/>
        <w:shd w:val="clear" w:color="auto" w:fill="FFFFFF"/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здійснювався контроль за станом благоустрою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Потічанського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старостату по всіх населених пунктах: Миколаївка, Нагірне, Пасічники, Потічок та додатково у селах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Першо-Лиманської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громади.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вівся</w:t>
      </w:r>
      <w:r>
        <w:rPr>
          <w:rFonts w:ascii="Times New Roman" w:hAnsi="Times New Roman"/>
          <w:sz w:val="28"/>
          <w:szCs w:val="28"/>
          <w:lang w:eastAsia="ru-RU"/>
        </w:rPr>
        <w:t xml:space="preserve"> облік військовозобов'язаних, здійснено оповіщення 145 військовозобов’язаних.</w:t>
      </w:r>
    </w:p>
    <w:p w:rsidR="005D1C5F" w:rsidRDefault="00743A35">
      <w:pPr>
        <w:pStyle w:val="Standarduser"/>
        <w:shd w:val="clear" w:color="auto" w:fill="FFFFFF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Враховуючи розпочату війну російської федерації проти України на території старостату було організовано: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створення волонтерського руху в селах: с. Миколаївка, с. Пасічники,  </w:t>
      </w:r>
      <w:r>
        <w:rPr>
          <w:rFonts w:ascii="Times New Roman" w:hAnsi="Times New Roman"/>
          <w:sz w:val="28"/>
          <w:szCs w:val="28"/>
          <w:lang w:eastAsia="ru-RU"/>
        </w:rPr>
        <w:t xml:space="preserve">    с. Потічок, с. Лиман Перший;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створення умов для прийняття </w:t>
      </w:r>
      <w:r>
        <w:rPr>
          <w:rFonts w:ascii="Times New Roman" w:hAnsi="Times New Roman"/>
          <w:sz w:val="28"/>
          <w:szCs w:val="28"/>
          <w:lang w:eastAsia="ru-RU"/>
        </w:rPr>
        <w:t>внутрішньо переміщених осіб (ВПО)</w:t>
      </w:r>
      <w:r>
        <w:rPr>
          <w:rFonts w:ascii="Times New Roman" w:hAnsi="Times New Roman"/>
          <w:sz w:val="28"/>
          <w:szCs w:val="28"/>
          <w:lang w:eastAsia="ru-RU"/>
        </w:rPr>
        <w:t xml:space="preserve">: було надано 37 домогосподарств для їх проживання, прибули на тимчасове проживання 151 особа, на даний час залишилось 39 ВПО, до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Першо-Лиманської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громади приб</w:t>
      </w:r>
      <w:r>
        <w:rPr>
          <w:rFonts w:ascii="Times New Roman" w:hAnsi="Times New Roman"/>
          <w:sz w:val="28"/>
          <w:szCs w:val="28"/>
          <w:lang w:eastAsia="ru-RU"/>
        </w:rPr>
        <w:t>уло  - 57 осіб, на даний час залишилось – 19 ВПО.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>- збирання та передача продуктів та ліків, одягу, коштів для придбання спеціальної техніки для військових;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організовано та проведено шість благодійних ярмарків на підтримку </w:t>
      </w:r>
      <w:r>
        <w:rPr>
          <w:rFonts w:ascii="Times New Roman" w:hAnsi="Times New Roman"/>
          <w:sz w:val="28"/>
          <w:szCs w:val="28"/>
          <w:lang w:eastAsia="ru-RU"/>
        </w:rPr>
        <w:t>Збройних Сил України</w:t>
      </w:r>
      <w:r>
        <w:rPr>
          <w:rFonts w:ascii="Times New Roman" w:hAnsi="Times New Roman"/>
          <w:sz w:val="28"/>
          <w:szCs w:val="28"/>
          <w:lang w:eastAsia="ru-RU"/>
        </w:rPr>
        <w:t xml:space="preserve">, де було </w:t>
      </w:r>
      <w:r>
        <w:rPr>
          <w:rFonts w:ascii="Times New Roman" w:hAnsi="Times New Roman"/>
          <w:sz w:val="28"/>
          <w:szCs w:val="28"/>
          <w:lang w:eastAsia="ru-RU"/>
        </w:rPr>
        <w:t>зібрано понад 87000 грн.</w:t>
      </w:r>
    </w:p>
    <w:p w:rsidR="005D1C5F" w:rsidRDefault="00743A35">
      <w:pPr>
        <w:pStyle w:val="Standarduser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збір продуктів харчування для харчування військових, які знаходяться на лікуванні в Решетилівській лікарні;</w:t>
      </w:r>
    </w:p>
    <w:p w:rsidR="005D1C5F" w:rsidRDefault="00743A35">
      <w:pPr>
        <w:pStyle w:val="Textbodyuser"/>
        <w:shd w:val="clear" w:color="auto" w:fill="FFFFFF"/>
        <w:tabs>
          <w:tab w:val="left" w:pos="1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звітний період виконував письмові та усні доручення міської ради, виконавчого комітету, міського голови. Співпрацював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з відділами виконавчого комітету та надавав всю необхідну інформацію, що стосувалася підвідомчої території.</w:t>
      </w:r>
    </w:p>
    <w:p w:rsidR="005D1C5F" w:rsidRDefault="00743A35">
      <w:pPr>
        <w:pStyle w:val="PreformattedText"/>
        <w:shd w:val="clear" w:color="auto" w:fill="FFFFFF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Створював умови</w:t>
      </w:r>
      <w:r>
        <w:rPr>
          <w:rFonts w:ascii="Times New Roman" w:hAnsi="Times New Roman" w:cs="Times New Roman"/>
          <w:sz w:val="28"/>
          <w:szCs w:val="28"/>
        </w:rPr>
        <w:t xml:space="preserve">  для  недопущення  на  території   старостату  дій  чи   бездіяльності,  які  можуть  зашкодити  інтересам  жителів. Дотримувався  п</w:t>
      </w:r>
      <w:r>
        <w:rPr>
          <w:rFonts w:ascii="Times New Roman" w:hAnsi="Times New Roman" w:cs="Times New Roman"/>
          <w:sz w:val="28"/>
          <w:szCs w:val="28"/>
        </w:rPr>
        <w:t xml:space="preserve">равил  службової  етики,  встановлених  відповідними  актами  міської  ради. Працюю  для  покращення  умов  проживання  жителів  сіл  старостату,  надання  їм  необхідної  допомоги.  </w:t>
      </w:r>
    </w:p>
    <w:p w:rsidR="005D1C5F" w:rsidRDefault="005D1C5F">
      <w:pPr>
        <w:pStyle w:val="PreformattedTex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C5F" w:rsidRDefault="00743A35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ищенко</w:t>
      </w:r>
      <w:proofErr w:type="spellEnd"/>
    </w:p>
    <w:p w:rsidR="005D1C5F" w:rsidRDefault="005D1C5F">
      <w:pPr>
        <w:pStyle w:val="Standard"/>
        <w:jc w:val="both"/>
        <w:rPr>
          <w:rFonts w:hint="eastAsia"/>
        </w:rPr>
      </w:pPr>
    </w:p>
    <w:sectPr w:rsidR="005D1C5F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35" w:rsidRDefault="00743A35">
      <w:pPr>
        <w:rPr>
          <w:rFonts w:hint="eastAsia"/>
        </w:rPr>
      </w:pPr>
      <w:r>
        <w:separator/>
      </w:r>
    </w:p>
  </w:endnote>
  <w:endnote w:type="continuationSeparator" w:id="0">
    <w:p w:rsidR="00743A35" w:rsidRDefault="00743A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35" w:rsidRDefault="00743A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3A35" w:rsidRDefault="00743A3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E6"/>
    <w:multiLevelType w:val="multilevel"/>
    <w:tmpl w:val="F772776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0ACE29C7"/>
    <w:multiLevelType w:val="multilevel"/>
    <w:tmpl w:val="DD0491D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2807734"/>
    <w:multiLevelType w:val="multilevel"/>
    <w:tmpl w:val="AEE2C6FA"/>
    <w:styleLink w:val="WWNum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decimal"/>
      <w:lvlText w:val="%3)"/>
      <w:lvlJc w:val="left"/>
      <w:pPr>
        <w:ind w:left="180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2160" w:hanging="360"/>
      </w:pPr>
      <w:rPr>
        <w:sz w:val="28"/>
        <w:szCs w:val="28"/>
      </w:rPr>
    </w:lvl>
    <w:lvl w:ilvl="4">
      <w:start w:val="1"/>
      <w:numFmt w:val="decimal"/>
      <w:lvlText w:val="%5)"/>
      <w:lvlJc w:val="left"/>
      <w:pPr>
        <w:ind w:left="2520" w:hanging="36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2880" w:hanging="360"/>
      </w:pPr>
      <w:rPr>
        <w:sz w:val="28"/>
        <w:szCs w:val="28"/>
      </w:rPr>
    </w:lvl>
    <w:lvl w:ilvl="6">
      <w:start w:val="1"/>
      <w:numFmt w:val="decimal"/>
      <w:lvlText w:val="%7)"/>
      <w:lvlJc w:val="left"/>
      <w:pPr>
        <w:ind w:left="3240" w:hanging="360"/>
      </w:pPr>
      <w:rPr>
        <w:sz w:val="28"/>
        <w:szCs w:val="28"/>
      </w:rPr>
    </w:lvl>
    <w:lvl w:ilvl="7">
      <w:start w:val="1"/>
      <w:numFmt w:val="decimal"/>
      <w:lvlText w:val="%8)"/>
      <w:lvlJc w:val="left"/>
      <w:pPr>
        <w:ind w:left="3600" w:hanging="360"/>
      </w:pPr>
      <w:rPr>
        <w:sz w:val="28"/>
        <w:szCs w:val="28"/>
      </w:rPr>
    </w:lvl>
    <w:lvl w:ilvl="8">
      <w:start w:val="1"/>
      <w:numFmt w:val="decimal"/>
      <w:lvlText w:val="%9)"/>
      <w:lvlJc w:val="left"/>
      <w:pPr>
        <w:ind w:left="3960" w:hanging="360"/>
      </w:pPr>
      <w:rPr>
        <w:sz w:val="28"/>
        <w:szCs w:val="28"/>
      </w:rPr>
    </w:lvl>
  </w:abstractNum>
  <w:abstractNum w:abstractNumId="3">
    <w:nsid w:val="256D0F6E"/>
    <w:multiLevelType w:val="multilevel"/>
    <w:tmpl w:val="200013BA"/>
    <w:styleLink w:val="WWNum2"/>
    <w:lvl w:ilvl="0">
      <w:numFmt w:val="bullet"/>
      <w:lvlText w:val="-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1C5F"/>
    <w:rsid w:val="005D1C5F"/>
    <w:rsid w:val="00743A35"/>
    <w:rsid w:val="0098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eastAsia="Courier New" w:hAnsi="Times New Roman" w:cs="Times New Roman"/>
      <w:sz w:val="20"/>
      <w:szCs w:val="20"/>
      <w:lang w:val="ru-RU" w:eastAsia="ru-RU" w:bidi="ar-SA"/>
    </w:rPr>
  </w:style>
  <w:style w:type="paragraph" w:customStyle="1" w:styleId="Textbodyuser">
    <w:name w:val="Text body (user)"/>
    <w:pPr>
      <w:widowControl w:val="0"/>
      <w:spacing w:after="140" w:line="276" w:lineRule="auto"/>
      <w:textAlignment w:val="auto"/>
    </w:pPr>
    <w:rPr>
      <w:rFonts w:cs="Liberation Serif"/>
    </w:rPr>
  </w:style>
  <w:style w:type="paragraph" w:customStyle="1" w:styleId="PreformattedText">
    <w:name w:val="Preformatted Text"/>
    <w:basedOn w:val="Standard"/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8">
    <w:name w:val="Указатель8"/>
    <w:basedOn w:val="Standard"/>
    <w:rPr>
      <w:rFonts w:cs="Arial"/>
    </w:rPr>
  </w:style>
  <w:style w:type="paragraph" w:styleId="a6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</w:style>
  <w:style w:type="character" w:customStyle="1" w:styleId="ListLabel19">
    <w:name w:val="ListLabel 19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20">
    <w:name w:val="ListLabel 20"/>
    <w:rPr>
      <w:sz w:val="28"/>
      <w:szCs w:val="28"/>
    </w:rPr>
  </w:style>
  <w:style w:type="character" w:customStyle="1" w:styleId="ListLabel21">
    <w:name w:val="ListLabel 21"/>
    <w:rPr>
      <w:sz w:val="28"/>
      <w:szCs w:val="28"/>
    </w:rPr>
  </w:style>
  <w:style w:type="character" w:customStyle="1" w:styleId="ListLabel22">
    <w:name w:val="ListLabel 22"/>
    <w:rPr>
      <w:sz w:val="28"/>
      <w:szCs w:val="28"/>
    </w:rPr>
  </w:style>
  <w:style w:type="character" w:customStyle="1" w:styleId="ListLabel23">
    <w:name w:val="ListLabel 23"/>
    <w:rPr>
      <w:sz w:val="28"/>
      <w:szCs w:val="28"/>
    </w:rPr>
  </w:style>
  <w:style w:type="character" w:customStyle="1" w:styleId="ListLabel24">
    <w:name w:val="ListLabel 24"/>
    <w:rPr>
      <w:sz w:val="28"/>
      <w:szCs w:val="28"/>
    </w:rPr>
  </w:style>
  <w:style w:type="character" w:customStyle="1" w:styleId="ListLabel25">
    <w:name w:val="ListLabel 25"/>
    <w:rPr>
      <w:sz w:val="28"/>
      <w:szCs w:val="28"/>
    </w:rPr>
  </w:style>
  <w:style w:type="character" w:customStyle="1" w:styleId="ListLabel26">
    <w:name w:val="ListLabel 26"/>
    <w:rPr>
      <w:sz w:val="28"/>
      <w:szCs w:val="28"/>
    </w:rPr>
  </w:style>
  <w:style w:type="character" w:customStyle="1" w:styleId="ListLabel27">
    <w:name w:val="ListLabel 27"/>
    <w:rPr>
      <w:sz w:val="28"/>
      <w:szCs w:val="28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val="ru-RU" w:eastAsia="ru-RU" w:bidi="ar-SA"/>
    </w:rPr>
  </w:style>
  <w:style w:type="character" w:customStyle="1" w:styleId="a7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8">
    <w:name w:val="Шрифт абзацу за промовчанням"/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NoList">
    <w:name w:val="No List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3949</Words>
  <Characters>2252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2</cp:revision>
  <cp:lastPrinted>2023-04-18T09:23:00Z</cp:lastPrinted>
  <dcterms:created xsi:type="dcterms:W3CDTF">2023-04-10T09:42:00Z</dcterms:created>
  <dcterms:modified xsi:type="dcterms:W3CDTF">2023-06-08T06:29:00Z</dcterms:modified>
</cp:coreProperties>
</file>