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E3" w:rsidRPr="001B68E3" w:rsidRDefault="001B68E3" w:rsidP="001B6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b/>
          <w:bCs/>
          <w:color w:val="333333"/>
          <w:spacing w:val="4"/>
          <w:sz w:val="28"/>
          <w:szCs w:val="28"/>
          <w:bdr w:val="none" w:sz="0" w:space="0" w:color="auto" w:frame="1"/>
          <w:lang w:eastAsia="ru-RU"/>
        </w:rPr>
        <w:t>Аналіз регуляторного впливу</w:t>
      </w:r>
      <w:r w:rsidRPr="001B68E3">
        <w:rPr>
          <w:rFonts w:ascii="Times New Roman" w:eastAsia="Times New Roman" w:hAnsi="Times New Roman" w:cs="Times New Roman"/>
          <w:b/>
          <w:bCs/>
          <w:color w:val="333333"/>
          <w:spacing w:val="4"/>
          <w:sz w:val="28"/>
          <w:szCs w:val="28"/>
          <w:bdr w:val="none" w:sz="0" w:space="0" w:color="auto" w:frame="1"/>
          <w:lang w:eastAsia="ru-RU"/>
        </w:rPr>
        <w:br/>
        <w:t xml:space="preserve">проекту </w:t>
      </w:r>
      <w:proofErr w:type="gramStart"/>
      <w:r w:rsidRPr="001B68E3">
        <w:rPr>
          <w:rFonts w:ascii="Times New Roman" w:eastAsia="Times New Roman" w:hAnsi="Times New Roman" w:cs="Times New Roman"/>
          <w:b/>
          <w:bCs/>
          <w:color w:val="333333"/>
          <w:spacing w:val="4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1B68E3">
        <w:rPr>
          <w:rFonts w:ascii="Times New Roman" w:eastAsia="Times New Roman" w:hAnsi="Times New Roman" w:cs="Times New Roman"/>
          <w:b/>
          <w:bCs/>
          <w:color w:val="333333"/>
          <w:spacing w:val="4"/>
          <w:sz w:val="28"/>
          <w:szCs w:val="28"/>
          <w:bdr w:val="none" w:sz="0" w:space="0" w:color="auto" w:frame="1"/>
          <w:lang w:eastAsia="ru-RU"/>
        </w:rPr>
        <w:t xml:space="preserve">ішення </w:t>
      </w:r>
      <w:r w:rsidR="008176AF">
        <w:rPr>
          <w:rFonts w:ascii="Times New Roman" w:eastAsia="Times New Roman" w:hAnsi="Times New Roman" w:cs="Times New Roman"/>
          <w:b/>
          <w:bCs/>
          <w:color w:val="333333"/>
          <w:spacing w:val="4"/>
          <w:sz w:val="28"/>
          <w:szCs w:val="28"/>
          <w:bdr w:val="none" w:sz="0" w:space="0" w:color="auto" w:frame="1"/>
          <w:lang w:val="uk-UA" w:eastAsia="ru-RU"/>
        </w:rPr>
        <w:t xml:space="preserve">Решетилівської </w:t>
      </w:r>
      <w:r w:rsidRPr="001B68E3">
        <w:rPr>
          <w:rFonts w:ascii="Times New Roman" w:eastAsia="Times New Roman" w:hAnsi="Times New Roman" w:cs="Times New Roman"/>
          <w:b/>
          <w:bCs/>
          <w:color w:val="333333"/>
          <w:spacing w:val="4"/>
          <w:sz w:val="28"/>
          <w:szCs w:val="28"/>
          <w:bdr w:val="none" w:sz="0" w:space="0" w:color="auto" w:frame="1"/>
          <w:lang w:eastAsia="ru-RU"/>
        </w:rPr>
        <w:t>міської ради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br/>
      </w:r>
      <w:r w:rsidRPr="001B6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“Про встановлення ставок та пільг із сплати податку на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B6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нерухоме майно, відмінне від земельної ділянки, на 202</w:t>
      </w:r>
      <w:r w:rsidR="004735C5" w:rsidRPr="004735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6</w:t>
      </w:r>
      <w:r w:rsidRPr="001B6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1B6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1B6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ік”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 І. Визначення та аналіз проблеми, яку пропонується розв’язати шляхом регулювання.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      Статтею 10 Податкового кодексу України визначено перелік місцевих податків і зборів. Одним із місцевих податків є податок на нерухоме майно, відмінне від земельної ділянки і який зараховується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місцевого бюджету. Платниками податку є фізичні та юридичні особи,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тому числі нерезиденти, які є власниками об’єктів житлової  та нежитлової нерухомості.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  Відповідно до статті 12 Податкового кодексу України сільські, селищні, міські ради в межах своїх повноважень приймають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ішення про встановлення місцевих податків та зборів.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 Згідно пункту 24 частини першої статті 26 Закону України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1B68E3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bdr w:val="none" w:sz="0" w:space="0" w:color="auto" w:frame="1"/>
          <w:lang w:eastAsia="ru-RU"/>
        </w:rPr>
        <w:t>„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 місцеве самоврядування в Україні” повноваження щодо встановлення місцевих податків і зборів відносяться до виключної компетенції сільських, селищних, міських рад. 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ідпунктом 12.3.4 пункту 12.3 статті 12 Податкового кодексу України встановлено, що рішення 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 встановлення місцевих податків та зборів офіційно оприлюднюється відповідним органом місцевого самоврядування до 25 липня року, що передує бюджетному періоду, в якому планується застосовування встановлюваних місцевих податків та/або зборів або змін (плановий період). В іншому разі норми відповідних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ішень застосовуються не раніше початку бюджетного періоду, що настає за плановим періодом.</w:t>
      </w:r>
    </w:p>
    <w:p w:rsidR="001B68E3" w:rsidRPr="001B68E3" w:rsidRDefault="001B68E3" w:rsidP="001B68E3">
      <w:pPr>
        <w:shd w:val="clear" w:color="auto" w:fill="FFFFFF"/>
        <w:spacing w:after="0" w:line="240" w:lineRule="auto"/>
        <w:ind w:left="45" w:right="3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    Проблемою є те, що в разі не встановлення міською радою місцевих податків, відповідно до пункту 12.3.5 статті 12 Податкового кодексу України, якщо 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до 15 липня року, що передує бюджетному періоду, в якому планується застосування місцевих податків та/або зборів, сільська, селищна, міська рада не прийняла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ішення про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встановлення відповідних місцевих податків та/або зборів, що є обов’язковими згідно з нормами цього Кодексу, такі податки та/або збори справляються виходячи з норм цього Кодексу із застосуванням ставок, які діяли до 31 грудня року, що передує бюджетному періоду, в якому планується застосування таких місцевих податків та/або збор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ів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1B68E3" w:rsidRPr="001B68E3" w:rsidRDefault="001B68E3" w:rsidP="001B68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Місцеві податки та збори зараховуються в повному обсязі до бюджету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8176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</w:t>
      </w:r>
      <w:proofErr w:type="gramEnd"/>
      <w:r w:rsidR="008176A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ешетилівської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 міської територіальної громади  та є його бюджетно-формуючим  джерелом, забезпечують збалансованість дохідної частини бюджету та задоволення нагальних потреб громади.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  Відповідно до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ідпункту 266.2.1 пункту 266.2 статті 266, підпункту 266.5.1 пункту 266.5 статті 266 Податкового кодексу України ставки податку на нерухоме майно, відмінне від земельної ділянки 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встановлюються у розмірі, що не перевищує 1,5 відсотка розміру мінімальної заробітної плати, встановленої законом на 1 січня звітного (податкового) року, за 1 квадратний метр бази оподаткування. Базою оподаткування є загальна площа об’єкта житлової та нежитлової нерухомості,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тому числі його часток.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Також, з урахуванням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ідпунктів 266.4.1, 266.4.2, 266.4.3. пункту 266.4 статті 266 Податкового кодексу України, необхідно встановити пільги із сплати податку на нерухоме майно, відмінне від земельної ділянки.</w:t>
      </w:r>
    </w:p>
    <w:p w:rsidR="001B68E3" w:rsidRPr="001B68E3" w:rsidRDefault="001B68E3" w:rsidP="001B68E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ім того, відповідно до вимог підпункту 266.4.2 пункту 266.4 статті 266 Податкового кодексу України органи місцевого самоврядування встановлюють пільги з податку, що сплачується на відповідній території, з об’єктів житлової та/або нежитлової нерухомості, що перебувають у власності фізичних або юридичних осіб, громадських об’єднань, благодійних організацій,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рел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ігійних організацій України, статути (положення) яких зареєстровані у встановленому законом порядку, та використовуються для забезпечення діяльності, передбаченої такими статутами (положеннями).</w:t>
      </w:r>
    </w:p>
    <w:p w:rsidR="001B68E3" w:rsidRPr="001B68E3" w:rsidRDefault="001B68E3" w:rsidP="001B68E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n11813"/>
      <w:bookmarkEnd w:id="0"/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ільги з податку, що сплачується на відповідній території з об’єктів житлової та нежитлової нерухомості, для фізичних осіб визначаються виходячи з їх майнового стану та рівня доходів.</w:t>
      </w:r>
    </w:p>
    <w:p w:rsidR="001B68E3" w:rsidRPr="001B68E3" w:rsidRDefault="001B68E3" w:rsidP="001B68E3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n11816"/>
      <w:bookmarkEnd w:id="1"/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ільги з податку, що сплачується на відповідній території з об’єктів нежитлової нерухомості, встановлюються залежно від майна, яке є об’єктом оподаткування.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    Враховуючи, що рішення про встановлення місцевих податків і зборів на 202</w:t>
      </w:r>
      <w:r w:rsidR="004A79B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6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рік має бути прийняте органом місцевого самоврядування до 15 липня 202</w:t>
      </w:r>
      <w:r w:rsidR="004A79B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5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року  в рамках виконання вимог статей 4 і 12 Податкового кодексу України, і має ознаки регуляторного акту, а тому потребує реалізації процедури, передбаченої Законом України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1B68E3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bdr w:val="none" w:sz="0" w:space="0" w:color="auto" w:frame="1"/>
          <w:lang w:eastAsia="ru-RU"/>
        </w:rPr>
        <w:t>„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 засади державної регуляторної політики у сфері господарської діяльності”.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     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метою виконання вимог Податкового кодексу України пропонується прийняття рішення міської ради </w:t>
      </w:r>
      <w:r w:rsidRPr="001B68E3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bdr w:val="none" w:sz="0" w:space="0" w:color="auto" w:frame="1"/>
          <w:lang w:eastAsia="ru-RU"/>
        </w:rPr>
        <w:t>„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 встановлення ставок та пільг із сплати податку на нерухоме майно, відмінне від земельної ділянки, на 2025 рік”  з урахуванням статті 7 Податкового кодексу України і яке набере чинності з наступного бюджетного періоду – з 1 січня 202</w:t>
      </w:r>
      <w:r w:rsidR="003342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6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року.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    Прийняття цього регуляторного акта дасть можливість встановити єдиний порядок здійснення контролю за додержанням правил розрахунку та сплати податку, є одним з джерел наповнення місцевого бюджету, що надасть змогу  спрямувати отримані кошти від сплати податку на вирішення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соц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іальних проблем територіальної громади та покращення інфраструктури території. </w:t>
      </w:r>
    </w:p>
    <w:p w:rsidR="001B68E3" w:rsidRPr="001B68E3" w:rsidRDefault="001B68E3" w:rsidP="00DB49F3">
      <w:pPr>
        <w:shd w:val="clear" w:color="auto" w:fill="FFFFFF"/>
        <w:spacing w:after="0" w:line="240" w:lineRule="auto"/>
        <w:ind w:right="-135"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Рішенням сесії </w:t>
      </w:r>
      <w:r w:rsidR="003342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Решетилівської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міської ради від </w:t>
      </w:r>
      <w:r w:rsidR="003342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30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червня 202</w:t>
      </w:r>
      <w:r w:rsidR="003342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2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року №</w:t>
      </w:r>
      <w:r w:rsidR="0064384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1067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1B68E3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bdr w:val="none" w:sz="0" w:space="0" w:color="auto" w:frame="1"/>
          <w:lang w:eastAsia="ru-RU"/>
        </w:rPr>
        <w:t>„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 встановлення ставок та пільг із сплати податку на нерухоме майно, відмінне від земельної ділянки, на 202</w:t>
      </w:r>
      <w:r w:rsidR="0033421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3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рік” було затверджено 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розміри ставок податку на нерухоме майно, відмінне від земельної ділянки, на територ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ії </w:t>
      </w:r>
      <w:r w:rsidR="0064384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</w:t>
      </w:r>
      <w:proofErr w:type="gramEnd"/>
      <w:r w:rsidR="0064384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ешетилівської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іської територіальної громади:   </w:t>
      </w:r>
    </w:p>
    <w:tbl>
      <w:tblPr>
        <w:tblpPr w:leftFromText="180" w:rightFromText="180" w:topFromText="300" w:bottomFromText="300" w:vertAnchor="text" w:tblpX="-1245"/>
        <w:tblW w:w="11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992"/>
        <w:gridCol w:w="5103"/>
        <w:gridCol w:w="3119"/>
      </w:tblGrid>
      <w:tr w:rsidR="001B68E3" w:rsidRPr="001B68E3" w:rsidTr="00DB49F3">
        <w:trPr>
          <w:trHeight w:val="69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DB49F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DB49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ік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Ставка, грн.</w:t>
            </w:r>
          </w:p>
        </w:tc>
        <w:tc>
          <w:tcPr>
            <w:tcW w:w="51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DB49F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DB49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ік (пропонується)</w:t>
            </w:r>
          </w:p>
        </w:tc>
        <w:tc>
          <w:tcPr>
            <w:tcW w:w="311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Ставка, грн.</w:t>
            </w:r>
          </w:p>
        </w:tc>
      </w:tr>
      <w:tr w:rsidR="001B68E3" w:rsidRPr="001B68E3" w:rsidTr="00DB49F3">
        <w:tc>
          <w:tcPr>
            <w:tcW w:w="1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’єктів житлової нерухомості, що перебувають у власності фізичних та юридичних осіб ставка податку становить </w:t>
            </w: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0,5 відсотка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розміру мінімальної заробітної плати,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встановленої законом на 1 січня звітного (податкового) року, за 1 кв. метр бази оподаткування;</w:t>
            </w:r>
          </w:p>
          <w:p w:rsidR="001B68E3" w:rsidRPr="001B68E3" w:rsidRDefault="001B68E3" w:rsidP="00DB49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 01.01.202</w:t>
            </w:r>
            <w:r w:rsidR="00DB49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4 – </w:t>
            </w: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  <w:r w:rsidR="00DB49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00 грн.)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68E3" w:rsidRPr="001B68E3" w:rsidRDefault="001B68E3" w:rsidP="001B68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68E3" w:rsidRPr="001B68E3" w:rsidRDefault="001B68E3" w:rsidP="001B68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68E3" w:rsidRPr="001B68E3" w:rsidRDefault="001B68E3" w:rsidP="001B68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  <w:r w:rsidR="00DB49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,50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’єктів житлової нерухомості, що перебувають у власності фізичних та юридичних осіб ставка податку становить </w:t>
            </w: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0,5 відсотка розміру мінімальної заробітної плати,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встановленої законом на 1 січня звітного (податкового) року, за 1 кв. метр бази оподаткування;</w:t>
            </w:r>
          </w:p>
          <w:p w:rsidR="001B68E3" w:rsidRPr="001B68E3" w:rsidRDefault="001B68E3" w:rsidP="0064384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(на 01.01.202</w:t>
            </w:r>
            <w:r w:rsidR="00643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r w:rsidR="00643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80</w:t>
            </w: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00 грн.)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68E3" w:rsidRPr="001B68E3" w:rsidRDefault="001B68E3" w:rsidP="001B6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68E3" w:rsidRPr="001B68E3" w:rsidRDefault="001B68E3" w:rsidP="001B6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68E3" w:rsidRPr="001B68E3" w:rsidRDefault="001B68E3" w:rsidP="001B68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68E3" w:rsidRPr="001B68E3" w:rsidRDefault="00DB49F3" w:rsidP="001B68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</w:p>
        </w:tc>
      </w:tr>
      <w:tr w:rsidR="001B68E3" w:rsidRPr="001B68E3" w:rsidTr="00DB49F3">
        <w:tc>
          <w:tcPr>
            <w:tcW w:w="1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’єктів нежитлової нерухомості, що перебувають у власності фізичних та юридичних осіб, становить </w:t>
            </w: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0,5 відсотка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мінімальної заробітної </w:t>
            </w: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плати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встановленої законом на 1 січня звітного (податкового) року, за 1 кв. метр бази оподаткування;</w:t>
            </w:r>
          </w:p>
          <w:p w:rsidR="001B68E3" w:rsidRPr="001B68E3" w:rsidRDefault="00DB49F3" w:rsidP="00DB49F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(на 01.01.2024 – 71</w:t>
            </w:r>
            <w:r w:rsidR="001B68E3"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00 грн.)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1B68E3" w:rsidRPr="001B68E3" w:rsidRDefault="001B68E3" w:rsidP="001B68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68E3" w:rsidRPr="001B68E3" w:rsidRDefault="001B68E3" w:rsidP="001B68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68E3" w:rsidRPr="001B68E3" w:rsidRDefault="001B68E3" w:rsidP="001B68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68E3" w:rsidRPr="001B68E3" w:rsidRDefault="001B68E3" w:rsidP="00DB49F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3</w:t>
            </w:r>
            <w:r w:rsidR="00DB49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,50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643844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 об’єктів нежитлової нерухомості, що перебувають у власності фізичних та юридичних осіб, становить </w:t>
            </w: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0,5 відсотка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мінімальної заробітної плати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встановленої законом на 1 січня звітного (податкового) року, за 1 кв. метр </w:t>
            </w:r>
            <w:r w:rsidR="00DB49F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бази оподаткування</w:t>
            </w:r>
            <w:proofErr w:type="gramStart"/>
            <w:r w:rsidR="00DB49F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;</w:t>
            </w: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на 01.01.202</w:t>
            </w:r>
            <w:r w:rsidR="00643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5</w:t>
            </w: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– </w:t>
            </w:r>
            <w:r w:rsidR="006438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80</w:t>
            </w: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00 грн.)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68E3" w:rsidRPr="001B68E3" w:rsidRDefault="001B68E3" w:rsidP="001B68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68E3" w:rsidRPr="001B68E3" w:rsidRDefault="001B68E3" w:rsidP="001B68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68E3" w:rsidRPr="001B68E3" w:rsidRDefault="001B68E3" w:rsidP="001B68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B68E3" w:rsidRPr="001B68E3" w:rsidRDefault="00DB49F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40</w:t>
            </w:r>
          </w:p>
        </w:tc>
      </w:tr>
    </w:tbl>
    <w:p w:rsidR="001B68E3" w:rsidRPr="001B68E3" w:rsidRDefault="001B68E3" w:rsidP="001B68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Проблема, яку пропонується розв’язати шляхом встановлення на території  </w:t>
      </w:r>
      <w:r w:rsidR="00643844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Решетилівської 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територіальної громади ставок податку на нерухоме майно, відмінне від  земельної ділянки, за кодами  Класифікації будівель та споруд, справляє вплив на такі основні групи (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ідгрупи):</w:t>
      </w:r>
    </w:p>
    <w:p w:rsidR="001B68E3" w:rsidRPr="001B68E3" w:rsidRDefault="001B68E3" w:rsidP="001B68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9782" w:type="dxa"/>
        <w:tblInd w:w="-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2268"/>
        <w:gridCol w:w="2977"/>
      </w:tblGrid>
      <w:tr w:rsidR="001B68E3" w:rsidRPr="001B68E3" w:rsidTr="007C6004">
        <w:trPr>
          <w:trHeight w:val="375"/>
        </w:trPr>
        <w:tc>
          <w:tcPr>
            <w:tcW w:w="453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7C6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Групи (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ідгрупи)</w:t>
            </w:r>
          </w:p>
        </w:tc>
        <w:tc>
          <w:tcPr>
            <w:tcW w:w="2268" w:type="dxa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7C6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Так</w:t>
            </w:r>
          </w:p>
        </w:tc>
        <w:tc>
          <w:tcPr>
            <w:tcW w:w="2977" w:type="dxa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7C6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Ні</w:t>
            </w:r>
          </w:p>
        </w:tc>
      </w:tr>
      <w:tr w:rsidR="001B68E3" w:rsidRPr="001B68E3" w:rsidTr="007C6004">
        <w:trPr>
          <w:trHeight w:val="315"/>
        </w:trPr>
        <w:tc>
          <w:tcPr>
            <w:tcW w:w="4537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7C6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Громадяни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7C6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7C6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1B68E3" w:rsidRPr="001B68E3" w:rsidTr="007C6004">
        <w:trPr>
          <w:trHeight w:val="270"/>
        </w:trPr>
        <w:tc>
          <w:tcPr>
            <w:tcW w:w="4537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7C6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Орган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ісцевого самоврядування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7C6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7C6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1B68E3" w:rsidRPr="001B68E3" w:rsidTr="007C6004">
        <w:trPr>
          <w:trHeight w:val="240"/>
        </w:trPr>
        <w:tc>
          <w:tcPr>
            <w:tcW w:w="4537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7C6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Суб’єкти господарювання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7C6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7C60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</w:tbl>
    <w:p w:rsidR="001B68E3" w:rsidRPr="001B68E3" w:rsidRDefault="001B68E3" w:rsidP="001B68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Розв’язання даної проблеми не може бути вирішене за допомогою ринкових механізмів, оскільки пунктом 24 частини першої статті 26 Закону України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r w:rsidRPr="001B68E3">
        <w:rPr>
          <w:rFonts w:ascii="Times New Roman" w:eastAsia="Times New Roman" w:hAnsi="Times New Roman" w:cs="Times New Roman"/>
          <w:color w:val="333333"/>
          <w:spacing w:val="4"/>
          <w:sz w:val="28"/>
          <w:szCs w:val="28"/>
          <w:bdr w:val="none" w:sz="0" w:space="0" w:color="auto" w:frame="1"/>
          <w:lang w:eastAsia="ru-RU"/>
        </w:rPr>
        <w:t>„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 місцеве самоврядування в Україні” визначено, що 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до виключної компетенції органів місцевого самоврядування належить встановлення місцевих податків і зборів відповідно до Податкового кодексу України.</w:t>
      </w:r>
    </w:p>
    <w:p w:rsidR="001B68E3" w:rsidRPr="001B68E3" w:rsidRDefault="001B68E3" w:rsidP="00AE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 Таким чином, вказана проблема потребує розв’язання шляхом прийняття відповідного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ішення на сесії міської ради.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ІІ. </w:t>
      </w:r>
      <w:proofErr w:type="gramStart"/>
      <w:r w:rsidRPr="001B6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</w:t>
      </w:r>
      <w:proofErr w:type="gramEnd"/>
      <w:r w:rsidRPr="001B6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ілі регулювання.</w:t>
      </w:r>
    </w:p>
    <w:p w:rsidR="001B68E3" w:rsidRPr="001B68E3" w:rsidRDefault="001B68E3" w:rsidP="001B68E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ілями прийняття запропонованого регуляторного акту є:  </w:t>
      </w:r>
    </w:p>
    <w:p w:rsidR="001B68E3" w:rsidRPr="001B68E3" w:rsidRDefault="001B68E3" w:rsidP="001B68E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безумовне виконання норм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чинного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законодавства;</w:t>
      </w:r>
    </w:p>
    <w:p w:rsidR="001B68E3" w:rsidRPr="001B68E3" w:rsidRDefault="001B68E3" w:rsidP="001B68E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- дотримання вимог Податкового кодексу України в частині встановлення податку на нерухоме майно, відмінне від земельної ділянки;</w:t>
      </w:r>
    </w:p>
    <w:p w:rsidR="001B68E3" w:rsidRPr="001B68E3" w:rsidRDefault="001B68E3" w:rsidP="001B68E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встановлення розмірів ставок місцевих податків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межах визначених Податковим кодексом України з врахуванням потреб територіальної громади;</w:t>
      </w:r>
    </w:p>
    <w:p w:rsidR="001B68E3" w:rsidRPr="001B68E3" w:rsidRDefault="001B68E3" w:rsidP="001B68E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- отримання додаткового обсягу надходжень до місцевого бюджету та направлення їх на втілення програм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соц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іально-економічного розвитку, збільшення фінансування  соціальної сфери;</w:t>
      </w:r>
    </w:p>
    <w:p w:rsidR="001B68E3" w:rsidRPr="001B68E3" w:rsidRDefault="001B68E3" w:rsidP="00AE7DFF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- відкритість процедури, прозорість дій органу місцевого самоврядування при вирішенні питань, пов’язаних зі справлянням податку на нерухоме майно, відмінне від земельної ділянки; встановлення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ільг з його сплати певним категоріям суб’єктів господарювання та громадянам, передбачених податковим законодавством.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68E3" w:rsidRPr="001B68E3" w:rsidRDefault="001B68E3" w:rsidP="001B68E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ІІІ. Визначення та оцінка альтернативних способів досягнення цілей.</w:t>
      </w:r>
    </w:p>
    <w:p w:rsidR="001B68E3" w:rsidRPr="001B68E3" w:rsidRDefault="001B68E3" w:rsidP="001B68E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1. Визначення альтернативних способів досягнення цілей.   </w:t>
      </w:r>
    </w:p>
    <w:p w:rsidR="001B68E3" w:rsidRPr="001B68E3" w:rsidRDefault="001B68E3" w:rsidP="001B68E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5227"/>
      </w:tblGrid>
      <w:tr w:rsidR="001B68E3" w:rsidRPr="001B68E3" w:rsidTr="001B68E3">
        <w:trPr>
          <w:trHeight w:val="450"/>
        </w:trPr>
        <w:tc>
          <w:tcPr>
            <w:tcW w:w="352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Вид альтернативи</w:t>
            </w:r>
          </w:p>
        </w:tc>
        <w:tc>
          <w:tcPr>
            <w:tcW w:w="9398" w:type="dxa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Опис альтернативи</w:t>
            </w:r>
          </w:p>
        </w:tc>
      </w:tr>
      <w:tr w:rsidR="001B68E3" w:rsidRPr="001B68E3" w:rsidTr="001B68E3">
        <w:trPr>
          <w:trHeight w:val="3555"/>
        </w:trPr>
        <w:tc>
          <w:tcPr>
            <w:tcW w:w="3524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Альтернатива 1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 Не прийняття регуляторного акта (залишення існуючої на даний момент ситуації без змін).</w:t>
            </w:r>
          </w:p>
        </w:tc>
        <w:tc>
          <w:tcPr>
            <w:tcW w:w="9398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 Неприйняття регуляторного акту не узгоджуватиметься з вимогами Бюджетного та Податкового кодексів України, зокрема з принципами податкового законодавства України щодо прийняття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ішення. Дана альтернатива не забезпечить сплату податку, такі податки до прийняття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ішення справляються виходячи з норм Кодексу і сплачуються платниками із застосуванням ставок, які діяли до 31 грудня року, що передує бюджетному періоду, в якому планується застосування такого податку.  Проте за відсутності податкових пільг територіальній громаді буде завдано значний негативний вплив, оскільки збільшення податкового навантаження на неплатоспроможних власників  зумовлює соціальну напругу в 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територіальній громаді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та ставить під загрозу забезпечення стабільних надходжень до  бюджету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="00F565C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Р</w:t>
            </w:r>
            <w:proofErr w:type="gramEnd"/>
            <w:r w:rsidR="00F565C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ешетилівської 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міської територіальної громади.  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B68E3" w:rsidRPr="001B68E3" w:rsidRDefault="00AE7DFF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Негативний вплив буде завдано територіальній громаді, оскільки відсутність надходжень до бюджету ставить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ід загрозу фінансування соціально важливих місцевих програм, соціальної сфери в умовах військової агресії росії проти України та порушення 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чинного законодавства України.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  Така альтернатива є неприйнятною, оскільки не допомагає вирішити проблему.</w:t>
            </w:r>
          </w:p>
        </w:tc>
      </w:tr>
      <w:tr w:rsidR="001B68E3" w:rsidRPr="001B68E3" w:rsidTr="001B68E3">
        <w:trPr>
          <w:trHeight w:val="3090"/>
        </w:trPr>
        <w:tc>
          <w:tcPr>
            <w:tcW w:w="3524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Альтернатива 2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 Встановлення максимальних ставок місцевих податкі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398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 Альтернатива може бути прийнятою. Установлення максимальної ставки податку забезпечить додаткові надходження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бюджету, упорядкує відносини між органами місцевого самоврядування та громадянами, суб’єктами господарювання. Але, при цьому збільшується податкове навантаження на платників податку.</w:t>
            </w:r>
          </w:p>
          <w:p w:rsidR="001B68E3" w:rsidRPr="001B68E3" w:rsidRDefault="00AE7DFF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цьому випадку буде перевиконання дохідної частини місцевого бюджету, але у зв’язку з надмірним  податковим навантаженням буде виникати заборгованість зі сп</w:t>
            </w:r>
            <w:r w:rsidR="00F565C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л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ати податків, що призведе до нарахування пені та штрафних санкцій за несвоєчасну сплату і, як наслідок, закриття суб’єктів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ідприємницької діяльності, зменшення кількості робочих місць, виникнення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іальної напруги населення. </w:t>
            </w:r>
          </w:p>
        </w:tc>
      </w:tr>
      <w:tr w:rsidR="001B68E3" w:rsidRPr="001B68E3" w:rsidTr="001B68E3">
        <w:tc>
          <w:tcPr>
            <w:tcW w:w="3524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Альтернатива 3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 Прийняття регуляторного акту, положення якого повністю узгоджуються з Податковим кодексом України, із встановленням  обґрунтованих ставок податків та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ільг і враховують особливості території громади.</w:t>
            </w:r>
          </w:p>
        </w:tc>
        <w:tc>
          <w:tcPr>
            <w:tcW w:w="9398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AE7DFF" w:rsidP="001B68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Прийняття даного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ішення ради забезпечить досягнути встановлених цілей, чітких та прозорих механізмів справляння та сплати місцевих податків на території громади та відповідне наповнення місцевого бюджету, що дозволить профінансувати  програми соціально-економічного розвитку, закладів соціальної сфери, видатки на оборону  тощо.      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Враховує пропозиції фізичних осіб, які прийняли участь в обговоренні проекту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ішення.</w:t>
            </w:r>
          </w:p>
          <w:p w:rsidR="001B68E3" w:rsidRPr="001B68E3" w:rsidRDefault="00AE7DFF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Сприяє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іальному захисту членів територіальної громади.</w:t>
            </w:r>
          </w:p>
          <w:p w:rsidR="001B68E3" w:rsidRPr="001B68E3" w:rsidRDefault="00AE7DFF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Дана альтернатива є найбільш прийнятою, так як враховує вимоги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Бюджетного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та Податкового кодексів України, що є особливо актуальним та важливим питанням, дозволить забезпечити стабільні надходження до місцевого бюджету.</w:t>
            </w:r>
          </w:p>
        </w:tc>
      </w:tr>
    </w:tbl>
    <w:p w:rsidR="001B68E3" w:rsidRPr="00AE7DFF" w:rsidRDefault="001B68E3" w:rsidP="001B68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2. Оцінка вибраних альтернативних способів досягнення цілей.</w:t>
      </w:r>
    </w:p>
    <w:p w:rsidR="00436C2D" w:rsidRPr="00436C2D" w:rsidRDefault="00436C2D" w:rsidP="001B68E3">
      <w:pPr>
        <w:shd w:val="clear" w:color="auto" w:fill="FFFFFF"/>
        <w:spacing w:after="0" w:line="240" w:lineRule="auto"/>
        <w:jc w:val="both"/>
        <w:rPr>
          <w:rStyle w:val="a5"/>
        </w:rPr>
      </w:pPr>
    </w:p>
    <w:p w:rsidR="001B68E3" w:rsidRDefault="001B68E3" w:rsidP="00AE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 Оцінка впливу на сферу інтересі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органу місцевого самоврядування.</w:t>
      </w:r>
    </w:p>
    <w:p w:rsidR="00AE7DFF" w:rsidRPr="00AE7DFF" w:rsidRDefault="00AE7DFF" w:rsidP="00AE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2541"/>
        <w:gridCol w:w="2686"/>
      </w:tblGrid>
      <w:tr w:rsidR="001B68E3" w:rsidRPr="001B68E3" w:rsidTr="001B68E3">
        <w:trPr>
          <w:trHeight w:val="450"/>
        </w:trPr>
        <w:tc>
          <w:tcPr>
            <w:tcW w:w="326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Вид альтернативи</w:t>
            </w:r>
          </w:p>
        </w:tc>
        <w:tc>
          <w:tcPr>
            <w:tcW w:w="4568" w:type="dxa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Вигоди</w:t>
            </w:r>
          </w:p>
        </w:tc>
        <w:tc>
          <w:tcPr>
            <w:tcW w:w="5091" w:type="dxa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Витрати</w:t>
            </w:r>
          </w:p>
        </w:tc>
      </w:tr>
      <w:tr w:rsidR="001B68E3" w:rsidRPr="001B68E3" w:rsidTr="001B68E3">
        <w:trPr>
          <w:trHeight w:val="1680"/>
        </w:trPr>
        <w:tc>
          <w:tcPr>
            <w:tcW w:w="3263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Альтернатива 1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 Не прийняття регуляторного акта (залишення існуючої на даний момент ситуації без змін).</w:t>
            </w:r>
          </w:p>
        </w:tc>
        <w:tc>
          <w:tcPr>
            <w:tcW w:w="4568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Відсутні</w:t>
            </w:r>
          </w:p>
        </w:tc>
        <w:tc>
          <w:tcPr>
            <w:tcW w:w="5091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Відсутні</w:t>
            </w:r>
          </w:p>
        </w:tc>
      </w:tr>
      <w:tr w:rsidR="001B68E3" w:rsidRPr="001B68E3" w:rsidTr="001B68E3">
        <w:trPr>
          <w:trHeight w:val="3090"/>
        </w:trPr>
        <w:tc>
          <w:tcPr>
            <w:tcW w:w="3263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Альтернатива 2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Встановлення максимальних ставок місцевих податкі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68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 Максимальні надходження кошті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до місцевого бюджету.    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 Спрямування надлишків коштів на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іально-економічний розвиток</w:t>
            </w:r>
          </w:p>
        </w:tc>
        <w:tc>
          <w:tcPr>
            <w:tcW w:w="5091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Витрати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пов’язан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і: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з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ідготовкою регуляторного акту;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процедур з його опублікування;</w:t>
            </w:r>
          </w:p>
          <w:p w:rsidR="001B68E3" w:rsidRPr="001B68E3" w:rsidRDefault="004735C5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 розповсюдження прийнятого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ішення;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на організацію контролю за надходженням кошті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до місцевого бюджету;</w:t>
            </w:r>
          </w:p>
          <w:p w:rsidR="001B68E3" w:rsidRPr="001B68E3" w:rsidRDefault="004735C5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-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проведення відстежень 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результативності даного регуляторного акта.</w:t>
            </w:r>
          </w:p>
        </w:tc>
      </w:tr>
      <w:tr w:rsidR="001B68E3" w:rsidRPr="001B68E3" w:rsidTr="001B68E3">
        <w:tc>
          <w:tcPr>
            <w:tcW w:w="3263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Альтернатива 3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Прийняття регуляторного акту, положення якого повністю узгоджуються з Податковим кодексом України, із встановленням  обґрунтованих ставок податків та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ільг і враховують особливості території громади.</w:t>
            </w:r>
          </w:p>
        </w:tc>
        <w:tc>
          <w:tcPr>
            <w:tcW w:w="4568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9B1CEF" w:rsidP="001B68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Забезпечить дотримання вимог податкового законодавства, реалізацію наданих органу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ісцевого самоврядування повноважень.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Забезпечить відповідні надходження до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ісцевого бюджету.</w:t>
            </w:r>
          </w:p>
          <w:p w:rsidR="001B68E3" w:rsidRPr="001B68E3" w:rsidRDefault="009B1CEF" w:rsidP="001B68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Створить сприятливі фінансові можливості для задоволення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іальних та інших потреб територіальної громади. Вдосконалить відносини між міською радою, органом фіскальної служби та громадянами, суб’єктами господарювання пов’язаних зі справлянням 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податкі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  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 Встановить чіткі та прозорі механізми справляння та сплати місцевих податкі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091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Витрати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пов’язан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і:</w:t>
            </w:r>
          </w:p>
          <w:p w:rsidR="001B68E3" w:rsidRPr="001B68E3" w:rsidRDefault="00F565CC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ідготовкою регуляторного акту;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процедур з його опублікування;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на розповсюдження прийнятого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ішення;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на організацію контролю за надходженням кошті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до місцевого бюджету;</w:t>
            </w:r>
          </w:p>
          <w:p w:rsidR="001B68E3" w:rsidRPr="001B68E3" w:rsidRDefault="00F565CC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-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проведення відстежень результативності даного регуляторного акта.</w:t>
            </w:r>
          </w:p>
        </w:tc>
      </w:tr>
    </w:tbl>
    <w:p w:rsidR="001B68E3" w:rsidRPr="001B68E3" w:rsidRDefault="001B68E3" w:rsidP="00436C2D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Оцінка впливу на сферу інтересів громадян.</w:t>
      </w:r>
    </w:p>
    <w:p w:rsidR="001B68E3" w:rsidRPr="001B68E3" w:rsidRDefault="001B68E3" w:rsidP="001B68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tbl>
      <w:tblPr>
        <w:tblW w:w="515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2215"/>
        <w:gridCol w:w="3625"/>
      </w:tblGrid>
      <w:tr w:rsidR="001B68E3" w:rsidRPr="001B68E3" w:rsidTr="001B68E3">
        <w:trPr>
          <w:trHeight w:val="450"/>
        </w:trPr>
        <w:tc>
          <w:tcPr>
            <w:tcW w:w="313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Вид альтернативи</w:t>
            </w:r>
          </w:p>
        </w:tc>
        <w:tc>
          <w:tcPr>
            <w:tcW w:w="4438" w:type="dxa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Вигоди</w:t>
            </w:r>
          </w:p>
        </w:tc>
        <w:tc>
          <w:tcPr>
            <w:tcW w:w="5352" w:type="dxa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Витрати</w:t>
            </w:r>
          </w:p>
        </w:tc>
      </w:tr>
      <w:tr w:rsidR="001B68E3" w:rsidRPr="001B68E3" w:rsidTr="001B68E3">
        <w:trPr>
          <w:trHeight w:val="1260"/>
        </w:trPr>
        <w:tc>
          <w:tcPr>
            <w:tcW w:w="3133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Альтернатива 1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 прийняття регуляторного акта (залишення існуючої на даний момент ситуації без змін).</w:t>
            </w:r>
          </w:p>
        </w:tc>
        <w:tc>
          <w:tcPr>
            <w:tcW w:w="4438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Сплата податку із застосуванням ставок, які діяли до 31 грудня року, що передує бюджетному періоду, в якому планується застосування такого податку.</w:t>
            </w:r>
          </w:p>
        </w:tc>
        <w:tc>
          <w:tcPr>
            <w:tcW w:w="5352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Витрати відсутні для громадян у частині сплати податку.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 відсутності податкових пільг територіальній громаді буде завдано значний негативний вплив, оскільки збільшення податкового навантаження на неплатоспроможних власників  зумовлює соціальну напругу в 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територіальній громаді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та ставить під загрозу забезпечення стабільних надходжень до  бюджету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="00F565C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Р</w:t>
            </w:r>
            <w:proofErr w:type="gramEnd"/>
            <w:r w:rsidR="00F565C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ешетилівської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міської територіальної громади.  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B68E3" w:rsidRPr="001B68E3" w:rsidRDefault="001B68E3" w:rsidP="004735C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Відсутня можливість додаткового наповнення дох</w:t>
            </w:r>
            <w:r w:rsidR="004735C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>і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дної частини бюджету громади та, відповідно, збільшення його видаткової частини для фінансування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іально важливих місцевих цільових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 програм, бюджетної сфери в галузях освіти, соціального захисту, 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житлово-комунального та дорожнього господарства, транспорту тощо.</w:t>
            </w:r>
          </w:p>
        </w:tc>
      </w:tr>
      <w:tr w:rsidR="001B68E3" w:rsidRPr="001B68E3" w:rsidTr="001B68E3">
        <w:trPr>
          <w:trHeight w:val="1680"/>
        </w:trPr>
        <w:tc>
          <w:tcPr>
            <w:tcW w:w="3133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Альтернатива 2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Встановлення максимальних ставок місцевих податкі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438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Вирішення більшої кількості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іальних проблем громади за рахунок значного зростання дохідної частини місцевого бюджету</w:t>
            </w:r>
          </w:p>
        </w:tc>
        <w:tc>
          <w:tcPr>
            <w:tcW w:w="5352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4735C5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Надмірне податкове навантаження (1,5% від розміру мінімальної заробітної плати, встановленої законом на 1 січня звітного (податкового) року за 1 квадратний метр бази оподаткування), призводить до нарахування пені та штрафних санкцій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їх несвоєчасну сплату. Зростає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івень невдоволеності та незабезпеченості громадян.</w:t>
            </w:r>
          </w:p>
        </w:tc>
      </w:tr>
      <w:tr w:rsidR="001B68E3" w:rsidRPr="001B68E3" w:rsidTr="001B68E3">
        <w:tc>
          <w:tcPr>
            <w:tcW w:w="3133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Альтернатива 3</w:t>
            </w:r>
          </w:p>
          <w:p w:rsidR="001B68E3" w:rsidRPr="001B68E3" w:rsidRDefault="009B1CEF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Прийняття регуляторного акту, положення якого повністю узгоджуються з Податковим кодексом України, із встановленням  обґрунтованих ставок податків та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ільг і враховують особливості території громади.</w:t>
            </w:r>
          </w:p>
        </w:tc>
        <w:tc>
          <w:tcPr>
            <w:tcW w:w="4438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Сплата податкі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="009B1C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</w:t>
            </w:r>
            <w:r w:rsidR="009B1CEF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обґрунтованими ставками.  </w:t>
            </w:r>
          </w:p>
          <w:p w:rsidR="001B68E3" w:rsidRPr="001B68E3" w:rsidRDefault="009B1CEF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Встановлення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ільг по сплаті податків для окремих категорій громадян.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Відкритість процедури, прозорість дій органу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ісцевого самоврядування.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Правове закріплення відносин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між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міською радою та громадянами.</w:t>
            </w:r>
          </w:p>
        </w:tc>
        <w:tc>
          <w:tcPr>
            <w:tcW w:w="5352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Сплата податкі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 встановленими ставками. Ставки податку диферент-ціюються за типом нерухомості. Вразливі категорії отримують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ільги.</w:t>
            </w:r>
          </w:p>
        </w:tc>
      </w:tr>
    </w:tbl>
    <w:p w:rsidR="001B68E3" w:rsidRDefault="001B68E3" w:rsidP="001B68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E7DFF" w:rsidRPr="00AE7DFF" w:rsidRDefault="00AE7DFF" w:rsidP="001B68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1B68E3" w:rsidRPr="00AE7DFF" w:rsidRDefault="001B68E3" w:rsidP="00AE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Оцінка впливу на сферу інтересів суб’єктів господарювання.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2613"/>
        <w:gridCol w:w="2614"/>
      </w:tblGrid>
      <w:tr w:rsidR="001B68E3" w:rsidRPr="001B68E3" w:rsidTr="001B68E3">
        <w:trPr>
          <w:trHeight w:val="450"/>
        </w:trPr>
        <w:tc>
          <w:tcPr>
            <w:tcW w:w="326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Вид альтернативи</w:t>
            </w:r>
          </w:p>
        </w:tc>
        <w:tc>
          <w:tcPr>
            <w:tcW w:w="4568" w:type="dxa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Вигоди</w:t>
            </w:r>
          </w:p>
        </w:tc>
        <w:tc>
          <w:tcPr>
            <w:tcW w:w="5091" w:type="dxa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Витрати</w:t>
            </w:r>
          </w:p>
        </w:tc>
      </w:tr>
      <w:tr w:rsidR="001B68E3" w:rsidRPr="001B68E3" w:rsidTr="001B68E3">
        <w:trPr>
          <w:trHeight w:val="1680"/>
        </w:trPr>
        <w:tc>
          <w:tcPr>
            <w:tcW w:w="3263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Альтернатива 1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 Не прийняття регуляторного акта (залишення існуючої на даний момент ситуації без змін).</w:t>
            </w:r>
          </w:p>
        </w:tc>
        <w:tc>
          <w:tcPr>
            <w:tcW w:w="4568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Сплата податку із застосуванням ставок, які діяли до 31 грудня року, що передує бюджетному періоду, в якому планується застосування такого податку.</w:t>
            </w:r>
          </w:p>
        </w:tc>
        <w:tc>
          <w:tcPr>
            <w:tcW w:w="5091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 Витрати,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пов’язан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 лише зі сплатою єдиного податку, земельного податку.</w:t>
            </w:r>
          </w:p>
        </w:tc>
      </w:tr>
      <w:tr w:rsidR="001B68E3" w:rsidRPr="001B68E3" w:rsidTr="001B68E3">
        <w:trPr>
          <w:trHeight w:val="840"/>
        </w:trPr>
        <w:tc>
          <w:tcPr>
            <w:tcW w:w="3263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Альтернатива 2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 Встановлення максимальних ставок місцевих податкі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68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4735C5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Відсутні</w:t>
            </w:r>
          </w:p>
        </w:tc>
        <w:tc>
          <w:tcPr>
            <w:tcW w:w="5091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Надмірне податкове навантаження (1,5% від розміру мінімальної заробітної плати, встановленої законом на 1 січня звітного (податкового) року за 1 квадратний метр бази оподаткування), яке може спричинити занепад малого бізнесу, який провадить діяльність на території ради, зменшення кількості робочих місць.</w:t>
            </w:r>
            <w:proofErr w:type="gramEnd"/>
          </w:p>
        </w:tc>
      </w:tr>
      <w:tr w:rsidR="001B68E3" w:rsidRPr="001B68E3" w:rsidTr="001B68E3">
        <w:tc>
          <w:tcPr>
            <w:tcW w:w="3263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Альтернатива 3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 Прийняття регуляторного акту, положення якого повністю узгоджуються з Податковим кодексом України, із встановленням  обґрунтованих ставок податків та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ільг і враховують особливості 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території громади.</w:t>
            </w:r>
          </w:p>
        </w:tc>
        <w:tc>
          <w:tcPr>
            <w:tcW w:w="4568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4735C5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Сплата податкі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 обґрунтованими ставками.  </w:t>
            </w:r>
          </w:p>
          <w:p w:rsidR="001B68E3" w:rsidRPr="001B68E3" w:rsidRDefault="004735C5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Встановлення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ільг по сплаті податків для окремих категорій юридичних осіб.</w:t>
            </w:r>
          </w:p>
          <w:p w:rsidR="001B68E3" w:rsidRPr="001B68E3" w:rsidRDefault="004735C5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Відкритість процедури, прозорість дій органу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ісцевого самоврядування.</w:t>
            </w:r>
          </w:p>
          <w:p w:rsidR="001B68E3" w:rsidRPr="001B68E3" w:rsidRDefault="004735C5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Правове закріплення відносин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між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міською радою та суб’єктами господарювання.</w:t>
            </w:r>
          </w:p>
        </w:tc>
        <w:tc>
          <w:tcPr>
            <w:tcW w:w="5091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Сплата податкі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 встановленими ставками.</w:t>
            </w:r>
          </w:p>
        </w:tc>
      </w:tr>
    </w:tbl>
    <w:p w:rsidR="001B68E3" w:rsidRPr="00AE7DFF" w:rsidRDefault="001B68E3" w:rsidP="001B68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1B68E3" w:rsidRPr="001B68E3" w:rsidRDefault="001B68E3" w:rsidP="001B6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IV. Вибі</w:t>
      </w:r>
      <w:proofErr w:type="gramStart"/>
      <w:r w:rsidRPr="001B6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1B6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найбільш оптимального альтернативного способу досягнення цілей.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Вартість балів визначається за чотирибальною системою оцінки ступеня досягнення визначених цілей, де: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n154"/>
      <w:bookmarkEnd w:id="2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4 - цілі прийняття регуляторного акта, які можуть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бути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досягнуті повною мірою (проблема більше існувати не буде);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n155"/>
      <w:bookmarkEnd w:id="3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3 - цілі прийняття регуляторного акта, які можуть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бути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досягнуті майже  повною мірою (усі важливі аспекти проблеми існувати не будуть);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n156"/>
      <w:bookmarkEnd w:id="4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2 - цілі прийняття регуляторного акта, які можуть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бути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досягнуті частково (проблема значно зменшиться, деякі важливі та критичні аспекти проблеми залишаться невирішеними);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n157"/>
      <w:bookmarkEnd w:id="5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1 - цілі прийняття регуляторного акта, які не можуть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бути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досягнуті (проблема продовжує існувати).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4"/>
        <w:gridCol w:w="1946"/>
        <w:gridCol w:w="3281"/>
      </w:tblGrid>
      <w:tr w:rsidR="001B68E3" w:rsidRPr="001B68E3" w:rsidTr="001B68E3">
        <w:trPr>
          <w:trHeight w:val="450"/>
        </w:trPr>
        <w:tc>
          <w:tcPr>
            <w:tcW w:w="303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Рейтинг результативності (досягнення цілей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ід час вирішення проблеми)</w:t>
            </w:r>
          </w:p>
        </w:tc>
        <w:tc>
          <w:tcPr>
            <w:tcW w:w="2242" w:type="dxa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Бал результатив-ності (за чо-тирибальною системою оцінки)</w:t>
            </w:r>
          </w:p>
        </w:tc>
        <w:tc>
          <w:tcPr>
            <w:tcW w:w="7648" w:type="dxa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Коментарі щодо присвоєння відповідного бала</w:t>
            </w:r>
          </w:p>
        </w:tc>
      </w:tr>
      <w:tr w:rsidR="001B68E3" w:rsidRPr="001B68E3" w:rsidTr="001B68E3">
        <w:trPr>
          <w:trHeight w:val="990"/>
        </w:trPr>
        <w:tc>
          <w:tcPr>
            <w:tcW w:w="3033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Альтернатива 1</w:t>
            </w:r>
          </w:p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 Не прийняття регуляторного акта (залишення існуючої на даний момент ситуації без змін).</w:t>
            </w:r>
          </w:p>
        </w:tc>
        <w:tc>
          <w:tcPr>
            <w:tcW w:w="2242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648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4735C5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Унеможливлює обрахування та сплату податку, оскільки на законодавчому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івні не визначено розмір мінімальної ставки.</w:t>
            </w:r>
          </w:p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 У випадку не прийняття регуляторного акта цілі не можуть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бути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досягнуті (проблема 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продовжує існувати).</w:t>
            </w:r>
          </w:p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 Така альтернатива є неприйнятною у зв’язку з тим, що в даному випадку відповідно до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ідпункту 12.3.5 пункту 12.3 статті 12 Податкового кодексу України, місцеві податки і збори сплачуються платниками у порядку, встановленому Кодексом із застосуванням ставок, які діяли до 31 грудня року, що передує бюджетному періоду, в якому планується застосування такого податку, що не сприятиме наповненню місцевого бюджету в можливих обсягах і ставить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ід загрозу фінансування соціально важливих місцевих програм, соціальної сфери, інфраструктури територіальної громади тощо.</w:t>
            </w:r>
          </w:p>
        </w:tc>
      </w:tr>
      <w:tr w:rsidR="001B68E3" w:rsidRPr="001B68E3" w:rsidTr="001B68E3">
        <w:trPr>
          <w:trHeight w:val="840"/>
        </w:trPr>
        <w:tc>
          <w:tcPr>
            <w:tcW w:w="3033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Альтернатива 2</w:t>
            </w:r>
          </w:p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 Встановлення максимальних ставок місцевих податкі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2242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648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 Цілі прийняття регуляторного акта можуть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бути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досягнуті частково (проблема значно зменшиться, деякі важливі та критичні аспекти проблеми залишаться невирішеними).</w:t>
            </w:r>
          </w:p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Надмірне податкове навантаження на суб’єктів господарювання 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знівелює вигоди від значного збільшення дохідної частини місцевого бюджету, а саме, існує ризик переходу суб’єктів господарювання в «тінь», зменшення кількості робочих місць та розміру заробітної плати і, як наслідок, виникне зворотній ефект в результаті якого зменшення надходжень до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ісцевого бюджету. Балансу інтересів досягнуто не буде.</w:t>
            </w:r>
          </w:p>
        </w:tc>
      </w:tr>
      <w:tr w:rsidR="001B68E3" w:rsidRPr="001B68E3" w:rsidTr="001B68E3">
        <w:tc>
          <w:tcPr>
            <w:tcW w:w="3033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Альтернатива 3</w:t>
            </w:r>
          </w:p>
          <w:p w:rsidR="001B68E3" w:rsidRPr="001B68E3" w:rsidRDefault="0036414E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Прийняття регуляторного акту, положення якого повністю узгоджуються з Податковим кодексом України, із встановленням  обґрунтованих ставок податків та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ільг і враховують особливості території громади.</w:t>
            </w:r>
          </w:p>
        </w:tc>
        <w:tc>
          <w:tcPr>
            <w:tcW w:w="2242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648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 Цілі прийняття проекту регуляторного акта можуть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бути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досягнуті майже повною мірою (усі важливі аспекти проблеми існувати не будуть).</w:t>
            </w:r>
          </w:p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 Прийняття даного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ішення забезпечить досягнути встановлених цілей, чітких та прозорих механізмів справляння та сплати податку на території громади та відповідно наповнення місцевого бюджету, забезпечить  фінансову основу самостійності органу місцевого самоврядування і дозволить профінансувати соціальні програми.</w:t>
            </w:r>
          </w:p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 Таким чином, з прийняттям вказаного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ішення буде досягнуто 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балансу інтересів органу місцевого самоврядування, громади і платників податків.</w:t>
            </w:r>
          </w:p>
        </w:tc>
      </w:tr>
    </w:tbl>
    <w:p w:rsidR="001B68E3" w:rsidRPr="001B68E3" w:rsidRDefault="001B68E3" w:rsidP="004735C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1902"/>
        <w:gridCol w:w="2251"/>
        <w:gridCol w:w="1963"/>
      </w:tblGrid>
      <w:tr w:rsidR="001B68E3" w:rsidRPr="001B68E3" w:rsidTr="001B68E3">
        <w:trPr>
          <w:trHeight w:val="1134"/>
        </w:trPr>
        <w:tc>
          <w:tcPr>
            <w:tcW w:w="266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47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Рейтинг результативності</w:t>
            </w:r>
          </w:p>
        </w:tc>
        <w:tc>
          <w:tcPr>
            <w:tcW w:w="3464" w:type="dxa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47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Вигоди (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ідсумок)</w:t>
            </w:r>
          </w:p>
        </w:tc>
        <w:tc>
          <w:tcPr>
            <w:tcW w:w="3597" w:type="dxa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47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Витрати (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ідсумок)</w:t>
            </w:r>
          </w:p>
        </w:tc>
        <w:tc>
          <w:tcPr>
            <w:tcW w:w="3198" w:type="dxa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47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Обґрунтування відповідного місця альтернативи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рейтингу</w:t>
            </w:r>
          </w:p>
        </w:tc>
      </w:tr>
      <w:tr w:rsidR="001B68E3" w:rsidRPr="001B68E3" w:rsidTr="001B68E3">
        <w:trPr>
          <w:trHeight w:val="840"/>
        </w:trPr>
        <w:tc>
          <w:tcPr>
            <w:tcW w:w="2664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Альтернатива 1</w:t>
            </w:r>
          </w:p>
          <w:p w:rsidR="001B68E3" w:rsidRPr="001B68E3" w:rsidRDefault="0036414E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прийняття регуляторного акта (залишення існуючої на даний момент ситуації без змін).</w:t>
            </w:r>
          </w:p>
        </w:tc>
        <w:tc>
          <w:tcPr>
            <w:tcW w:w="3464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Органи місцевого самоврядування:</w:t>
            </w:r>
          </w:p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Відсутні.</w:t>
            </w:r>
          </w:p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Громадяни:</w:t>
            </w:r>
          </w:p>
          <w:p w:rsidR="001B68E3" w:rsidRPr="001B68E3" w:rsidRDefault="005F4E7D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Сплата податку із застосуванням ставок, які діяли до 31 грудня року, що передує бюджетному періоду, в якому планується застосування такого податку</w:t>
            </w:r>
          </w:p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Суб’єкти господарювання:</w:t>
            </w:r>
          </w:p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 Сплата податку із застосуванням ставок, які діяли до 31 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грудня року, що передує бюджетному періоду, в якому планується застосування такого податку.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Органи місцевого самоврядування:</w:t>
            </w:r>
          </w:p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Відсутні.</w:t>
            </w:r>
          </w:p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Громадяни:</w:t>
            </w:r>
          </w:p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Витрати,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пов’язан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 лише зі сплатою земельного податку.</w:t>
            </w:r>
          </w:p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Суб’єкти господарювання:</w:t>
            </w:r>
          </w:p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Витрати,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пов’язан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 лише зі сплатою земельного податку, єдиного податку.</w:t>
            </w:r>
          </w:p>
          <w:p w:rsidR="001B68E3" w:rsidRPr="001B68E3" w:rsidRDefault="001B68E3" w:rsidP="004735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8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4735C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Зменшення надходжень до місцевого бюджету,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ідвищення соціальної напруги з причини погіршення якості життя (недофінансування соціально важливих програм), порушення податкового законодавства.</w:t>
            </w:r>
          </w:p>
        </w:tc>
      </w:tr>
      <w:tr w:rsidR="001B68E3" w:rsidRPr="001B68E3" w:rsidTr="001B68E3">
        <w:trPr>
          <w:trHeight w:val="840"/>
        </w:trPr>
        <w:tc>
          <w:tcPr>
            <w:tcW w:w="2664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Альтернатива 2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Встановлення максимальних ставок місцевих податкі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3464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Органи місцевого самоврядування: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Максимальні надходження кошті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до місцевого бюджету.    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Спрямування надлишків коштів на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іально-економічний розвиток.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Громадяни: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Вирішення більшої кількості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іальних проблем громади за рахунок значного зростання дохідної частини місцевого бюджету.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Суб’єкти господарюва</w:t>
            </w: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ння: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Відсутні. 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Органи місцевого самоврядування: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Витрати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пов’язан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і: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з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ідготовкою регуляторного акту;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процедур з його опублікування;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на розповсюдження прийнятого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ішення;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на організацію контролю за надходженням кошті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до місцевого бюджету;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- проведення відстежень результативності даного регуляторного акта.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Громадяни: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Надмірне податкове навантаження (1,5% від розміру мінімальної заробітної плати, встановленої законом на 1 січня звітного (податкового) року за 1 квадратний метр бази оподаткування), нарахування пені та штрафних санкцій за їх несвоєчасну сплату.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Суб’єкти господарювання: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Надмірне податкове навантаження (1,5% від розміру мінімальної заробітної плати, встановленої законом на 1 січня звітног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о(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податкового) року за 1 квадратний метр бази оподаткування), яке може спричинити 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занепад малого бізнесу, який провадить діяльність на території громади, зменшення кількості робочих місць.</w:t>
            </w:r>
          </w:p>
        </w:tc>
        <w:tc>
          <w:tcPr>
            <w:tcW w:w="3198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 Надмірне податкове навантаження, зменшення кількості суб’єктів господарювання, виникнення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іальної напруги населення. В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трата інвестиційної привабливості, що позначається на зменшенні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р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івня підприємницької активності. Скорочення ринку праці.</w:t>
            </w:r>
          </w:p>
        </w:tc>
      </w:tr>
      <w:tr w:rsidR="001B68E3" w:rsidRPr="001B68E3" w:rsidTr="001B68E3">
        <w:tc>
          <w:tcPr>
            <w:tcW w:w="2664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Альтернатива 3</w:t>
            </w:r>
          </w:p>
          <w:p w:rsidR="001B68E3" w:rsidRPr="001B68E3" w:rsidRDefault="005C3320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Прийняття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регуляторного акту, положення якого повністю узгоджуються з Податковим кодексом України, із встановленням  обґрунтованих ставок податків та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ільг і враховують особливості території громади.</w:t>
            </w:r>
          </w:p>
        </w:tc>
        <w:tc>
          <w:tcPr>
            <w:tcW w:w="3464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Органи місцевого самоврядування: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Забезпечить дотримання вимог податкового законодавства, реалізацію наданих органу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ісцевого самоврядування повноважень.</w:t>
            </w:r>
          </w:p>
          <w:p w:rsidR="001B68E3" w:rsidRPr="001B68E3" w:rsidRDefault="00E76DFF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Забезпечить відповідні надходження до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ісцевого бюджету.</w:t>
            </w:r>
          </w:p>
          <w:p w:rsidR="001B68E3" w:rsidRPr="001B68E3" w:rsidRDefault="00E76DFF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Створить сприятливі фінансові можливості для задоволення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іальних та інших потреб територіальної громади.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Вдосконалить 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відносини між міською радою, органом фіскальної служби та громадянами, суб’єктами господарювання пов’язаних зі справлянням податкі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  </w:t>
            </w:r>
          </w:p>
          <w:p w:rsidR="001B68E3" w:rsidRPr="001B68E3" w:rsidRDefault="00E76DFF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Встановить чіткі та прозорі механізми справляння та сплати місцевих податкі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Громадяни: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Сплата податкі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 обґрунтованими ставками.  </w:t>
            </w:r>
          </w:p>
          <w:p w:rsidR="001B68E3" w:rsidRPr="001B68E3" w:rsidRDefault="00E76DFF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Встановлення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ільг по сплаті податків для окремих категорій громадян.</w:t>
            </w:r>
          </w:p>
          <w:p w:rsidR="001B68E3" w:rsidRPr="001B68E3" w:rsidRDefault="00E76DFF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Відкритість процедури, прозорість дій органу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ісцевого самоврядуван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ня.</w:t>
            </w:r>
          </w:p>
          <w:p w:rsidR="001B68E3" w:rsidRPr="001B68E3" w:rsidRDefault="00E76DFF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Правове закріплення відносин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між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міською радою та громадянами.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Суб’єкти господарювання: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Сплата податкі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 обґрунтованими ставками.  </w:t>
            </w:r>
          </w:p>
          <w:p w:rsidR="001B68E3" w:rsidRPr="001B68E3" w:rsidRDefault="00E76DFF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Встановлення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ільг по сплаті податків для окремих категорій юридичних осіб.</w:t>
            </w:r>
          </w:p>
          <w:p w:rsidR="001B68E3" w:rsidRPr="001B68E3" w:rsidRDefault="00E76DFF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Відкритість процедури, прозорість дій органу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ісцевого самоврядування.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Правове закріплення відносин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між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міською радою та суб’єктами господарювання.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Органи місцевого самоврядування: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Витрати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пов’язан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і: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з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ідготовкою регуляторного акту;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процедур з його опублікування;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на розповсюдження прийнятого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ішення;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на організацію контролю за надходженням кошті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до місцевого бюджету;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- проведення відстежень результативності даного регуляторного акта.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Громадяни: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Сплата податкі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 встановленими ставками.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Суб’єкти господарювання: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Сплата податкі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 встановленими ставками.</w:t>
            </w:r>
          </w:p>
        </w:tc>
        <w:tc>
          <w:tcPr>
            <w:tcW w:w="3198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  Врахування пропозицій громадян та суб’єктів господарювання, чіткий та прозорий механізм нарахування та сплати податку, наповнення місцевого бюджету, збереження суб’єктів господарювання та робочих місць.</w:t>
            </w:r>
          </w:p>
        </w:tc>
      </w:tr>
    </w:tbl>
    <w:p w:rsidR="001B68E3" w:rsidRPr="001B68E3" w:rsidRDefault="001B68E3" w:rsidP="001B68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tbl>
      <w:tblPr>
        <w:tblW w:w="5000" w:type="pct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3101"/>
        <w:gridCol w:w="2724"/>
      </w:tblGrid>
      <w:tr w:rsidR="001B68E3" w:rsidRPr="001B68E3" w:rsidTr="001B68E3">
        <w:trPr>
          <w:trHeight w:val="450"/>
        </w:trPr>
        <w:tc>
          <w:tcPr>
            <w:tcW w:w="326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Рейтинг</w:t>
            </w:r>
          </w:p>
        </w:tc>
        <w:tc>
          <w:tcPr>
            <w:tcW w:w="4568" w:type="dxa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5091" w:type="dxa"/>
            <w:tcBorders>
              <w:top w:val="dotted" w:sz="6" w:space="0" w:color="000000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Оцінка ризику зовнішніх чинникі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на дію запропонованого регуляторного акта</w:t>
            </w:r>
          </w:p>
        </w:tc>
      </w:tr>
      <w:tr w:rsidR="001B68E3" w:rsidRPr="001B68E3" w:rsidTr="001B68E3">
        <w:trPr>
          <w:trHeight w:val="555"/>
        </w:trPr>
        <w:tc>
          <w:tcPr>
            <w:tcW w:w="3263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Альтернатива 1</w:t>
            </w:r>
          </w:p>
          <w:p w:rsidR="001B68E3" w:rsidRPr="001B68E3" w:rsidRDefault="00436C2D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 прийняття регуляторного акта (залишення існуючої на даний момент ситуації без змін).</w:t>
            </w:r>
          </w:p>
        </w:tc>
        <w:tc>
          <w:tcPr>
            <w:tcW w:w="4568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Альтернатива 1 не дає можливості досягнути поставлених цілей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відміну від альтернативи 3.</w:t>
            </w:r>
          </w:p>
          <w:p w:rsidR="001B68E3" w:rsidRPr="001B68E3" w:rsidRDefault="00E76DFF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 неприйняття регуляторного акта, податок справлятиметься із застосуванням ставок, які діяли до 31 грудня року, що передує бюджетному періоду, в якому планується застосування такого податку.  За відсутності податкових пільг територіальній громаді буде завдано значний негативний вплив, оскільки збільшення податкового навантаження на неплатоспроможних власників  зумовлює соціальну напругу в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територіальній громаді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та ставить під загрозу забезпечення стабільних надходжень до  бюджету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</w:t>
            </w:r>
            <w:r w:rsidR="005C332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Р</w:t>
            </w:r>
            <w:proofErr w:type="gramEnd"/>
            <w:r w:rsidR="005C332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ешетилівськ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ої міської територіальної громади. 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Порушення вимог Податкового та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Бюджетного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кодексів. Вказана 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альтернатива є неприйнятною.</w:t>
            </w:r>
          </w:p>
        </w:tc>
        <w:tc>
          <w:tcPr>
            <w:tcW w:w="5091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  Внесення змін до чинного законодавства України або виникнення необхідності в нормативному врегулюванні певних правовідносин.</w:t>
            </w:r>
          </w:p>
        </w:tc>
      </w:tr>
      <w:tr w:rsidR="001B68E3" w:rsidRPr="001B68E3" w:rsidTr="001B68E3">
        <w:trPr>
          <w:trHeight w:val="840"/>
        </w:trPr>
        <w:tc>
          <w:tcPr>
            <w:tcW w:w="3263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Альтернатива 2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Встановлення максимальних ставок місцевих податкі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568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Альтернатива 2 не дає можливості досягнути поставлених цілей, на відміну від альтернативи 3, цілі можуть бути досягнуті частково (проблема значно зменшиться, однак, деякі важливі критичні її аспекти залишаться невирішеними).  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Максимальне податкове навантаження на суб’єктів господарювання знівелює вигоди від значного збільшення дохідної частини місцевого бюджету, і як наслідок виникне зворотній ефект в результаті якого зменшення надходжень до міського бюджету. Балансу інтересів досягнуто не буде.</w:t>
            </w:r>
          </w:p>
        </w:tc>
        <w:tc>
          <w:tcPr>
            <w:tcW w:w="5091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 Внесення змін до чинного    законодавства України або виникнення необхідності в нормативному врегулюванні певних правовідносин.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 Індикаторами можуть бути процеси та явища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іально- економічного характеру (прискорення або уповільнення змін економічного зростання, політичні впливи, дефіцит ресурсів тощо).</w:t>
            </w:r>
          </w:p>
        </w:tc>
      </w:tr>
      <w:tr w:rsidR="001B68E3" w:rsidRPr="001B68E3" w:rsidTr="001B68E3">
        <w:tc>
          <w:tcPr>
            <w:tcW w:w="3263" w:type="dxa"/>
            <w:tcBorders>
              <w:top w:val="nil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Альтернатива 3</w:t>
            </w:r>
          </w:p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Прийняття регуляторного акту, положення якого повністю узгоджуються з Податковим кодексом України, із встановленням  обґрунтованих ставок податків та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ільг і враховують особливості території громади.</w:t>
            </w:r>
          </w:p>
        </w:tc>
        <w:tc>
          <w:tcPr>
            <w:tcW w:w="4568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Для досягнення встановлених цілей перевага надана  альтернативі 3, оскільки проектом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ішення запропоновано встановлення на законних підставах (відповідно до вимог податкового законодавства) обґрунтованих розмірів ставок податку. Прийняття проекту </w:t>
            </w: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дозволить зменшити податкове навантаження та встановити </w:t>
            </w:r>
            <w:proofErr w:type="gramStart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ільги  окремим платникам податків, а також забезпечить наповнення місцевого бюджету.</w:t>
            </w:r>
          </w:p>
        </w:tc>
        <w:tc>
          <w:tcPr>
            <w:tcW w:w="5091" w:type="dxa"/>
            <w:tcBorders>
              <w:top w:val="nil"/>
              <w:left w:val="nil"/>
              <w:bottom w:val="dotted" w:sz="6" w:space="0" w:color="000000"/>
              <w:right w:val="dotted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B68E3" w:rsidRPr="001B68E3" w:rsidRDefault="001B68E3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Внесення змін до чинного    законодавства України або виникнення необхідності в нормативному врегулюванні певних правовідносин.</w:t>
            </w:r>
          </w:p>
          <w:p w:rsidR="001B68E3" w:rsidRPr="001B68E3" w:rsidRDefault="004735C5" w:rsidP="001B68E3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Індикаторами можуть бути процеси та явища </w:t>
            </w:r>
            <w:proofErr w:type="gramStart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gramEnd"/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іально- </w:t>
            </w:r>
            <w:r w:rsidR="001B68E3" w:rsidRPr="001B68E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економічного характеру (прискорення або уповільнення змін економічного зростання, політичні впливи, дефіцит ресурсів тощо).</w:t>
            </w:r>
          </w:p>
        </w:tc>
      </w:tr>
    </w:tbl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   Аналіз обраних альтернатив показу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є,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що перший та другий способи не є прийнятним, так як він цілком не задовольняє ні інтереси держави та органу місцевого самоврядування, з однієї сторони, ні громадян та суб’єктів господарювання територіальної громади, з іншої сторони. Невизначеність процесу  введення в дію місцевих податків призведе до втрат надходжень до місцевого бюджету, які можливо було б залучити на здійснення програм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соц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іально-економічного та культурного розвитку, збільшення фінансування соціальної сфери.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Встановлення максимальних ставок податків буде надмірним  податковим навантаженням на платників та причиною виникнення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соц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іальної напруги населення. 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За таких обставин, перевага була віддана третьому способу, оскільки, у випадку встановленням  обґрунтованих ставок податків та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ільг, будуть враховані особливості території громади, забезпечено наповнення місцевого бюджету та дотримано вимог бюджетного законодавства України.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V. Механізми та заходи, які забезпечать розв’язання визначеної проблеми.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Розробка проекту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ішення </w:t>
      </w:r>
      <w:r w:rsidR="00206F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Решетилівської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міської ради “Про встановлення ставок та пільг із сплати податку на нерухоме майно, відмінне від земельної ділянки, на 202</w:t>
      </w:r>
      <w:r w:rsidR="00206F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6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рік”.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Оприлюднення проекту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ішення та отримання пропозицій і зауважень.</w:t>
      </w:r>
    </w:p>
    <w:p w:rsidR="001B68E3" w:rsidRPr="001B68E3" w:rsidRDefault="001B68E3" w:rsidP="001B6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 Проведення консультацій з суб'єктами господарювання.</w:t>
      </w:r>
    </w:p>
    <w:p w:rsidR="001B68E3" w:rsidRPr="001B68E3" w:rsidRDefault="001B68E3" w:rsidP="001B6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 Погодження (висновок)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проф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ільної депутатської комісії.</w:t>
      </w:r>
    </w:p>
    <w:p w:rsidR="001B68E3" w:rsidRPr="001B68E3" w:rsidRDefault="001B68E3" w:rsidP="001B6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 Прийняття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ішення на пленарному засіданні сесії міської ради.</w:t>
      </w:r>
    </w:p>
    <w:p w:rsidR="001B68E3" w:rsidRPr="001B68E3" w:rsidRDefault="001B68E3" w:rsidP="001B68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 Оприлюднення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ішення у встановленому законодавством порядку.</w:t>
      </w:r>
    </w:p>
    <w:p w:rsidR="001B68E3" w:rsidRPr="00AE7DFF" w:rsidRDefault="001B68E3" w:rsidP="00AE7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  Проведення заходів з відстеження результативності прийнятого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ішення.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  <w:lang w:eastAsia="ru-RU"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1B68E3" w:rsidRPr="00AE7DFF" w:rsidRDefault="001B68E3" w:rsidP="00AE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Адм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іністрування даного регуляторного акта буде проводитись на рівні </w:t>
      </w:r>
      <w:r w:rsidR="005F4E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державної податкової інспекції.</w:t>
      </w:r>
      <w:r w:rsidR="005F4E7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bookmarkStart w:id="6" w:name="_GoBack"/>
      <w:bookmarkEnd w:id="6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Органи місцевого самоврядування наділенні повноваженнями лише встановлювати ставки податку, не 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змінюючи порядок їх обчислення, сплати та інші адміністративні процедури.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VII. Обґрунтування запропонованого строку дії регуляторного акта.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Регуляторний акт має обмежений строк дії, що обумовлено чинністю існуючої правової бази вищого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івня та може бути переглянутий чи скасований при її зміні.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Строк дії запропонованого регуляторного акту один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ік, що є достатнім для розв’язання проблеми та досягнення цілей державного регулювання.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Виходячи із норм пункту 1 статті 3 Бюджетного Кодексу України бюджетний період для всіх бюджетів, що складають бюджетну систему України, становить один календарний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ік, який починається 1 січня кожного року і закінчується 31 грудня того ж року.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Відповідно до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ідпункту 12.3.4 пункту 12.3 статті 12 Податкового кодексу України, рішення про встановлення місцевих податків та зборів офіційно оприлюднюється відповідним органом місцевого самоврядування до 25 липня року, що передує бюджетному періоду, в якому планується застосовування встановлених місцевих податків та зборів або змін (плановий період). В іншому разі норми відповідних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ішень застосовуються не раніше початку бюджетного періоду, що настає за плановим періодом.</w:t>
      </w:r>
    </w:p>
    <w:p w:rsidR="001B68E3" w:rsidRPr="00AE7DFF" w:rsidRDefault="001B68E3" w:rsidP="00AE7D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  Враховуючи норми Бюджетного та Податкового кодексів України, органи місцевого самоврядування мають щорічно переглядати розміри ставок місцевих податкі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зборів, що справляються в установленому ПКУ порядку. Відповідні ставки будуть</w:t>
      </w:r>
      <w:r w:rsidR="00206F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діяти 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206F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починаючи з 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206F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6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року,</w:t>
      </w:r>
      <w:r w:rsidR="00E86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до прийняття нових</w:t>
      </w:r>
      <w:r w:rsidR="00206F3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.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VIII. Показники результативності дії регуляторного акта.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   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Основними критеріями, за якими оцінюватиметься результативність реалізації акта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є:</w:t>
      </w:r>
      <w:proofErr w:type="gramEnd"/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- фактичні  надходження по податку на нерухоме майно, відмінне від земельної ділянки, 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тому числі, по житловій та нежитловій нерухомості;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- кількість платників податку (суб`єктів господарювання та/або фізичних осіб), на яких поширюватиметься дія акта;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- кількість суб’єктів (юридичних та фізичних осіб), яким надано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ільги по сплаті податку на нерухоме майно, відмінне від земельної ділянки,  суми наданих пільг, у тому числі, по житловій та нежитловій нерухомості;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-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івень поінформованості платників податку з основними положеннями регуляторного акту.</w:t>
      </w:r>
    </w:p>
    <w:p w:rsidR="006E5C6E" w:rsidRDefault="001B68E3" w:rsidP="006E5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 Розмі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    надходжень   </w:t>
      </w:r>
      <w:r w:rsidRPr="001B68E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ru-RU"/>
        </w:rPr>
        <w:t>до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місцевого бюджету  податку на </w:t>
      </w:r>
      <w:r w:rsidRPr="001B68E3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  <w:bdr w:val="none" w:sz="0" w:space="0" w:color="auto" w:frame="1"/>
          <w:lang w:eastAsia="ru-RU"/>
        </w:rPr>
        <w:t>нерухоме 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майно для відстеження результативності дії регуляторного акту визначено в сумі 2</w:t>
      </w:r>
      <w:r w:rsidR="00E86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831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="00E86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9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тис.грн. (рішення сесії </w:t>
      </w:r>
      <w:r w:rsidR="00E86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Решетилівської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міської ради №</w:t>
      </w:r>
      <w:r w:rsidR="005720BE" w:rsidRPr="005720B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2107-52-</w:t>
      </w:r>
      <w:r w:rsidR="005720B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en-US" w:eastAsia="ru-RU"/>
        </w:rPr>
        <w:t>VIII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 від  </w:t>
      </w:r>
      <w:r w:rsidR="005720BE" w:rsidRPr="005720B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24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.12.202</w:t>
      </w:r>
      <w:r w:rsidR="005720BE" w:rsidRPr="005720B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року   "Про бюджет </w:t>
      </w:r>
      <w:r w:rsidR="005720B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Решетилівської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міської ради на 202</w:t>
      </w:r>
      <w:r w:rsidR="005720BE" w:rsidRPr="005720B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рік" визначено податок на нерухоме майно – </w:t>
      </w:r>
      <w:r w:rsidR="005720BE" w:rsidRPr="005720B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</w:t>
      </w:r>
      <w:r w:rsidR="005720B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 </w:t>
      </w:r>
      <w:r w:rsidR="005720BE" w:rsidRPr="005720B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785</w:t>
      </w:r>
      <w:r w:rsidR="005720B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720BE" w:rsidRPr="005720B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0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00,</w:t>
      </w:r>
      <w:r w:rsidR="005720B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0 грн., коефіцієнт спі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вв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ідношення мінімальної 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заробітної плати станом на 01.01.202</w:t>
      </w:r>
      <w:r w:rsidR="005720BE" w:rsidRPr="005720B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5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року до 01.01.202</w:t>
      </w:r>
      <w:r w:rsidR="005720BE" w:rsidRPr="005720B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4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року  </w:t>
      </w:r>
      <w:r w:rsidR="00E86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8000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/7</w:t>
      </w:r>
      <w:r w:rsidR="00E86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1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00=1,</w:t>
      </w:r>
      <w:r w:rsidR="00E86FF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12676056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).</w:t>
      </w:r>
    </w:p>
    <w:p w:rsidR="001B68E3" w:rsidRPr="001B68E3" w:rsidRDefault="001B68E3" w:rsidP="006E5C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IX. Визначення заході</w:t>
      </w:r>
      <w:proofErr w:type="gramStart"/>
      <w:r w:rsidRPr="001B6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1B68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, за допомогою яких здійснюватиметься відстеження результативності дії регуляторного акта.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Відстеження результативності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регуляторного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акту буде здійснюватися відповідно до статті 10 Закону України “Про засади державної регуляторної політики у сфері господарської діяльності” шляхом застосування базового та повторного відстеження.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  Базове відстеження результативності буде здійснено до дня набрання чинності цим регуляторним актом.</w:t>
      </w:r>
    </w:p>
    <w:p w:rsidR="001B68E3" w:rsidRPr="001B68E3" w:rsidRDefault="001B68E3" w:rsidP="001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Повторне відстеження результативності буде проведено через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ік з дня набрання чинності цим регуляторним актом.</w:t>
      </w:r>
    </w:p>
    <w:p w:rsidR="001B68E3" w:rsidRPr="00183188" w:rsidRDefault="001B68E3" w:rsidP="001831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   Відстеження результативності регуляторного акта буде здійснюватися управлінням фінансів виконавчого комітету </w:t>
      </w:r>
      <w:r w:rsidR="005720B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 w:eastAsia="ru-RU"/>
        </w:rPr>
        <w:t>Решетилівської</w:t>
      </w:r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міської ради на </w:t>
      </w:r>
      <w:proofErr w:type="gramStart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B68E3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ідставі даних державної податкової інспекції про надходження коштів до місцевого бюджету в частині сплати податку на нерухоме майно, відмінне від земельної ділянки.</w:t>
      </w:r>
    </w:p>
    <w:p w:rsidR="00183188" w:rsidRDefault="00183188" w:rsidP="001B68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183188" w:rsidRDefault="00183188" w:rsidP="001B68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183188" w:rsidRPr="00183188" w:rsidRDefault="00183188" w:rsidP="001B68E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Міський 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Оксана ДЯДЮНОВА</w:t>
      </w:r>
    </w:p>
    <w:p w:rsidR="00317342" w:rsidRDefault="00317342"/>
    <w:sectPr w:rsidR="00317342" w:rsidSect="00436C2D">
      <w:pgSz w:w="11906" w:h="16838"/>
      <w:pgMar w:top="1134" w:right="1274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87"/>
    <w:rsid w:val="00085087"/>
    <w:rsid w:val="00183188"/>
    <w:rsid w:val="001B68E3"/>
    <w:rsid w:val="00206F3D"/>
    <w:rsid w:val="00317342"/>
    <w:rsid w:val="00334212"/>
    <w:rsid w:val="0036414E"/>
    <w:rsid w:val="00436C2D"/>
    <w:rsid w:val="004735C5"/>
    <w:rsid w:val="004A79B7"/>
    <w:rsid w:val="005720BE"/>
    <w:rsid w:val="005C3320"/>
    <w:rsid w:val="005F4E7D"/>
    <w:rsid w:val="00643844"/>
    <w:rsid w:val="006E5C6E"/>
    <w:rsid w:val="007C6004"/>
    <w:rsid w:val="008176AF"/>
    <w:rsid w:val="009B1CEF"/>
    <w:rsid w:val="00AE7DFF"/>
    <w:rsid w:val="00DB49F3"/>
    <w:rsid w:val="00E76DFF"/>
    <w:rsid w:val="00E86FF0"/>
    <w:rsid w:val="00F43A43"/>
    <w:rsid w:val="00F5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1B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1B68E3"/>
  </w:style>
  <w:style w:type="paragraph" w:styleId="a4">
    <w:name w:val="No Spacing"/>
    <w:basedOn w:val="a"/>
    <w:uiPriority w:val="1"/>
    <w:qFormat/>
    <w:rsid w:val="001B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1B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1B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436C2D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1B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1B68E3"/>
  </w:style>
  <w:style w:type="paragraph" w:styleId="a4">
    <w:name w:val="No Spacing"/>
    <w:basedOn w:val="a"/>
    <w:uiPriority w:val="1"/>
    <w:qFormat/>
    <w:rsid w:val="001B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1B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1B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436C2D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4938</Words>
  <Characters>28151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</dc:creator>
  <cp:keywords/>
  <dc:description/>
  <cp:lastModifiedBy>FIn1</cp:lastModifiedBy>
  <cp:revision>16</cp:revision>
  <dcterms:created xsi:type="dcterms:W3CDTF">2025-02-24T07:31:00Z</dcterms:created>
  <dcterms:modified xsi:type="dcterms:W3CDTF">2025-03-04T12:01:00Z</dcterms:modified>
</cp:coreProperties>
</file>