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CC" w:rsidRDefault="00F50201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ЗВІТ</w:t>
      </w:r>
    </w:p>
    <w:p w:rsidR="003B02CC" w:rsidRDefault="00F50201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про роботу старости на території сіл Говтва, Буняківка, Киселівка,Плавні</w:t>
      </w:r>
    </w:p>
    <w:p w:rsidR="003B02CC" w:rsidRDefault="00F50201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 2024 рік</w:t>
      </w:r>
    </w:p>
    <w:p w:rsidR="003B02CC" w:rsidRDefault="003B02CC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3B02CC" w:rsidRDefault="00F50201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C9211E"/>
          <w:sz w:val="28"/>
          <w:szCs w:val="28"/>
        </w:rPr>
        <w:tab/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Керуючись Конституцією України та законами України, актами Президента України, Кабінету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Міністрів України, Статутом Решетилівської міської територіальної громади, Положенням про старосту та іншими нормативно-правовими актами, що визначають порядок моєї діяльності, звітую про роботу за 2024 рік.</w:t>
      </w:r>
    </w:p>
    <w:p w:rsidR="003B02CC" w:rsidRDefault="00F50201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З 16.12.2020 року затверджений старостою на тер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иторії сіл Говтва, Буняківка, Киселівка, Плавні.</w:t>
      </w:r>
    </w:p>
    <w:p w:rsidR="003B02CC" w:rsidRDefault="00F50201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</w:p>
    <w:p w:rsidR="003B02CC" w:rsidRDefault="00F50201">
      <w:pPr>
        <w:pStyle w:val="Standard"/>
        <w:shd w:val="clear" w:color="auto" w:fill="FFFFFF"/>
        <w:spacing w:after="150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Кількість домогосподарств – 170 ( Говтва- 96, Киселівка- 29, Буняківка-45) населення: 439, дорослі- 394, діти- 45, з них ВПО – 12 .</w:t>
      </w:r>
    </w:p>
    <w:p w:rsidR="003B02CC" w:rsidRDefault="00F50201">
      <w:pPr>
        <w:pStyle w:val="Standard"/>
        <w:shd w:val="clear" w:color="auto" w:fill="FFFFFF"/>
        <w:spacing w:after="150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території сіл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функціонують заклади:</w:t>
      </w:r>
    </w:p>
    <w:p w:rsidR="003B02CC" w:rsidRDefault="00F50201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освіти (школа, садок) – не має;</w:t>
      </w:r>
    </w:p>
    <w:p w:rsidR="003B02CC" w:rsidRDefault="00F50201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культури  - Говтвянський СБК та бібліотека;</w:t>
      </w:r>
    </w:p>
    <w:p w:rsidR="003B02CC" w:rsidRDefault="00F50201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медичний заклад – Говтвянська АЗП-СМ;</w:t>
      </w:r>
    </w:p>
    <w:p w:rsidR="003B02CC" w:rsidRDefault="00F50201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заклади торгівлі – продуктово-промисловий магазин.</w:t>
      </w:r>
    </w:p>
    <w:p w:rsidR="003B02CC" w:rsidRDefault="00F50201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Наявне автобусне сполучення з м.Решетилівка та м. Полтава.</w:t>
      </w:r>
    </w:p>
    <w:p w:rsidR="003B02CC" w:rsidRDefault="00F50201">
      <w:pPr>
        <w:pStyle w:val="Standard"/>
        <w:shd w:val="clear" w:color="auto" w:fill="FFFFFF"/>
        <w:spacing w:after="150"/>
        <w:jc w:val="both"/>
        <w:rPr>
          <w:rFonts w:hint="eastAsia"/>
        </w:rPr>
      </w:pPr>
      <w:r>
        <w:rPr>
          <w:rFonts w:ascii="Times New Roman" w:hAnsi="Times New Roman"/>
          <w:color w:val="780373"/>
          <w:sz w:val="28"/>
          <w:szCs w:val="28"/>
          <w:lang w:eastAsia="ru-RU"/>
        </w:rPr>
        <w:tab/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За звітний період:</w:t>
      </w:r>
    </w:p>
    <w:p w:rsidR="003B02CC" w:rsidRDefault="00F50201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- здійснено особистих прийомів громадян –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41;</w:t>
      </w:r>
    </w:p>
    <w:p w:rsidR="003B02CC" w:rsidRDefault="00F50201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 здійснено виїзних прийомів – 12;</w:t>
      </w:r>
    </w:p>
    <w:p w:rsidR="003B02CC" w:rsidRDefault="00F50201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 надано послуг адміністративних: видано довідок, характеристик- 130, складено актів обстеження – 28; соціальних: сформовано через ,,Соціальну громаду” та передано - 71 справ для різних видів соціальних допомог;</w:t>
      </w:r>
    </w:p>
    <w:p w:rsidR="003B02CC" w:rsidRDefault="00F50201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 зді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йснювався погосподарський облік, забезпечувалось збереження архівних документів тривалого (понад 10 років) терміну зберігання, вівся облік пільгових категорій громадян;</w:t>
      </w:r>
    </w:p>
    <w:p w:rsidR="003B02CC" w:rsidRDefault="00F50201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надавалась допомога жителям у підготовці  документів, що подаються до органів місцево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го самоврядування та місцевих органів виконавчої влади;</w:t>
      </w:r>
    </w:p>
    <w:p w:rsidR="003B02CC" w:rsidRDefault="00F50201">
      <w:pPr>
        <w:pStyle w:val="Textbody"/>
        <w:shd w:val="clear" w:color="auto" w:fill="FFFFFF"/>
        <w:tabs>
          <w:tab w:val="left" w:pos="0"/>
        </w:tabs>
        <w:spacing w:after="15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 брав участь в організації виконання рішень Решетилівської міської ради, її виконавчого комітету, розпоряджень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ab/>
        <w:t xml:space="preserve">Решетилівського міського  голови на території відповідних </w:t>
      </w:r>
      <w:r>
        <w:rPr>
          <w:rFonts w:ascii="Times New Roman" w:hAnsi="Times New Roman" w:cs="Times New Roman"/>
          <w:color w:val="780373"/>
          <w:sz w:val="28"/>
          <w:szCs w:val="28"/>
          <w:lang w:eastAsia="ru-RU"/>
        </w:rPr>
        <w:t>сіл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3B02CC" w:rsidRDefault="00F50201">
      <w:pPr>
        <w:pStyle w:val="Textbody"/>
        <w:shd w:val="clear" w:color="auto" w:fill="FFFFFF"/>
        <w:tabs>
          <w:tab w:val="left" w:pos="1140"/>
        </w:tabs>
        <w:spacing w:after="150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-здійснювався контроль за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станом благоустрою сіл Говтва, Буняківка, Киселівка, Плавні ;</w:t>
      </w:r>
    </w:p>
    <w:p w:rsidR="003B02CC" w:rsidRDefault="00F50201">
      <w:pPr>
        <w:pStyle w:val="Textbody"/>
        <w:shd w:val="clear" w:color="auto" w:fill="FFFFFF"/>
        <w:tabs>
          <w:tab w:val="left" w:pos="1140"/>
        </w:tabs>
        <w:spacing w:after="150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-вівся облік військовозобов'язаних, здійснено оповіщення 47 військовозобов’язаних.</w:t>
      </w:r>
    </w:p>
    <w:p w:rsidR="003B02CC" w:rsidRDefault="00F50201">
      <w:pPr>
        <w:pStyle w:val="Standard"/>
        <w:shd w:val="clear" w:color="auto" w:fill="FFFFFF"/>
        <w:spacing w:after="150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 xml:space="preserve"> Враховуючи продовження  війни російської федерації проти України на території старостату було організовано: </w:t>
      </w:r>
    </w:p>
    <w:p w:rsidR="003B02CC" w:rsidRDefault="00F50201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 створення умов для прийняття ВПО;</w:t>
      </w:r>
    </w:p>
    <w:p w:rsidR="003B02CC" w:rsidRDefault="00F50201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 збирання та передача продуктів та ліків, одягу, спеціальної техніки для військових;</w:t>
      </w:r>
    </w:p>
    <w:p w:rsidR="003B02CC" w:rsidRDefault="00F50201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 проведення благодійних заходів на підтримку ЗСУ;</w:t>
      </w:r>
    </w:p>
    <w:p w:rsidR="003B02CC" w:rsidRDefault="00F50201">
      <w:pPr>
        <w:pStyle w:val="Textbody"/>
        <w:shd w:val="clear" w:color="auto" w:fill="FFFFFF"/>
        <w:tabs>
          <w:tab w:val="left" w:pos="1140"/>
        </w:tabs>
        <w:spacing w:after="15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За звітний період виконував письмові та усні доручення міської ради, виконавчого к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омітету, міського голови. Брав участь у пленарних засіданнях міської  ради та засіданнях її постійних комісій з правом дорадчого голосу та засіданнях виконавчого комітету міської ради (за потреби). Співпрацював з відділами виконавчого комітету/виконавчими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органами ради та надавав всю необхідну інформацію, що стосувалася підвідомчої території.</w:t>
      </w:r>
    </w:p>
    <w:p w:rsidR="003B02CC" w:rsidRDefault="00F50201">
      <w:pPr>
        <w:pStyle w:val="PreformattedText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Створював умови</w:t>
      </w:r>
      <w:r>
        <w:rPr>
          <w:rFonts w:ascii="Times New Roman" w:hAnsi="Times New Roman" w:cs="Times New Roman"/>
          <w:sz w:val="28"/>
          <w:szCs w:val="28"/>
        </w:rPr>
        <w:t xml:space="preserve">  для  недопущення  на  території  підпорядкованих сіл дій  чи   бездіяльності,  які  можуть  зашкодити  інтересам  жителів. Дотримувався  правил  служб</w:t>
      </w:r>
      <w:r>
        <w:rPr>
          <w:rFonts w:ascii="Times New Roman" w:hAnsi="Times New Roman" w:cs="Times New Roman"/>
          <w:sz w:val="28"/>
          <w:szCs w:val="28"/>
        </w:rPr>
        <w:t xml:space="preserve">ової  етики,  встановлених  відповідними  актами  міської  ради. Працюю  для  покращення  умов  проживання  жителів  сіл,  та надання  їм  необхідної  допомоги.  </w:t>
      </w:r>
    </w:p>
    <w:p w:rsidR="003B02CC" w:rsidRDefault="00F50201">
      <w:pPr>
        <w:pStyle w:val="PreformattedText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подальшому бачу розвиток населених пунктів в плані розвитку зеленого туризму та </w:t>
      </w:r>
      <w:r>
        <w:rPr>
          <w:rFonts w:ascii="Times New Roman" w:hAnsi="Times New Roman" w:cs="Times New Roman"/>
          <w:sz w:val="28"/>
          <w:szCs w:val="28"/>
        </w:rPr>
        <w:t>недопущення погіршення стану того, що маємо на сьогодні.</w:t>
      </w:r>
    </w:p>
    <w:p w:rsidR="003B02CC" w:rsidRDefault="00F50201">
      <w:pPr>
        <w:pStyle w:val="PreformattedText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Проблеми: як і у всіх , вони є , але намагаємося їх вирішувати власними силами.</w:t>
      </w:r>
    </w:p>
    <w:p w:rsidR="003B02CC" w:rsidRDefault="003B02CC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3B02CC" w:rsidRDefault="00F50201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Староста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Ігор СЕМИВОЛОС</w:t>
      </w:r>
    </w:p>
    <w:p w:rsidR="003B02CC" w:rsidRDefault="003B02CC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3B02CC" w:rsidRDefault="003B02CC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3B02CC" w:rsidRDefault="003B02CC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b/>
          <w:bCs/>
          <w:color w:val="C9211E"/>
          <w:sz w:val="28"/>
          <w:szCs w:val="28"/>
        </w:rPr>
      </w:pPr>
    </w:p>
    <w:sectPr w:rsidR="003B02CC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01" w:rsidRDefault="00F50201">
      <w:pPr>
        <w:rPr>
          <w:rFonts w:hint="eastAsia"/>
        </w:rPr>
      </w:pPr>
      <w:r>
        <w:separator/>
      </w:r>
    </w:p>
  </w:endnote>
  <w:endnote w:type="continuationSeparator" w:id="0">
    <w:p w:rsidR="00F50201" w:rsidRDefault="00F502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01" w:rsidRDefault="00F5020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50201" w:rsidRDefault="00F5020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AA4"/>
    <w:multiLevelType w:val="multilevel"/>
    <w:tmpl w:val="2714A5D4"/>
    <w:styleLink w:val="WWNum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ind w:left="180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ind w:left="2160" w:hanging="360"/>
      </w:pPr>
      <w:rPr>
        <w:sz w:val="28"/>
        <w:szCs w:val="28"/>
      </w:rPr>
    </w:lvl>
    <w:lvl w:ilvl="4">
      <w:start w:val="1"/>
      <w:numFmt w:val="decimal"/>
      <w:lvlText w:val="%5)"/>
      <w:lvlJc w:val="left"/>
      <w:pPr>
        <w:ind w:left="2520" w:hanging="36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ind w:left="2880" w:hanging="360"/>
      </w:pPr>
      <w:rPr>
        <w:sz w:val="28"/>
        <w:szCs w:val="28"/>
      </w:rPr>
    </w:lvl>
    <w:lvl w:ilvl="6">
      <w:start w:val="1"/>
      <w:numFmt w:val="decimal"/>
      <w:lvlText w:val="%7)"/>
      <w:lvlJc w:val="left"/>
      <w:pPr>
        <w:ind w:left="3240" w:hanging="360"/>
      </w:pPr>
      <w:rPr>
        <w:sz w:val="28"/>
        <w:szCs w:val="28"/>
      </w:rPr>
    </w:lvl>
    <w:lvl w:ilvl="7">
      <w:start w:val="1"/>
      <w:numFmt w:val="decimal"/>
      <w:lvlText w:val="%8)"/>
      <w:lvlJc w:val="left"/>
      <w:pPr>
        <w:ind w:left="3600" w:hanging="360"/>
      </w:pPr>
      <w:rPr>
        <w:sz w:val="28"/>
        <w:szCs w:val="28"/>
      </w:rPr>
    </w:lvl>
    <w:lvl w:ilvl="8">
      <w:start w:val="1"/>
      <w:numFmt w:val="decimal"/>
      <w:lvlText w:val="%9)"/>
      <w:lvlJc w:val="left"/>
      <w:pPr>
        <w:ind w:left="3960" w:hanging="360"/>
      </w:pPr>
      <w:rPr>
        <w:sz w:val="28"/>
        <w:szCs w:val="28"/>
      </w:rPr>
    </w:lvl>
  </w:abstractNum>
  <w:abstractNum w:abstractNumId="1">
    <w:nsid w:val="0F776DBF"/>
    <w:multiLevelType w:val="multilevel"/>
    <w:tmpl w:val="18FCC33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6867137F"/>
    <w:multiLevelType w:val="multilevel"/>
    <w:tmpl w:val="6C8212A0"/>
    <w:styleLink w:val="WWNum2"/>
    <w:lvl w:ilvl="0">
      <w:numFmt w:val="bullet"/>
      <w:lvlText w:val="-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02CC"/>
    <w:rsid w:val="003B02CC"/>
    <w:rsid w:val="00483BE8"/>
    <w:rsid w:val="00F5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Times New Roman" w:eastAsia="Courier New" w:hAnsi="Times New Roman" w:cs="Times New Roman"/>
      <w:sz w:val="20"/>
      <w:szCs w:val="20"/>
      <w:lang w:val="ru-RU" w:eastAsia="ru-RU" w:bidi="ar-SA"/>
    </w:rPr>
  </w:style>
  <w:style w:type="paragraph" w:customStyle="1" w:styleId="Textbodyuser">
    <w:name w:val="Text body (user)"/>
    <w:pPr>
      <w:widowControl w:val="0"/>
      <w:suppressAutoHyphens/>
      <w:spacing w:after="140" w:line="276" w:lineRule="auto"/>
      <w:textAlignment w:val="auto"/>
    </w:pPr>
    <w:rPr>
      <w:rFonts w:cs="Liberation Serif"/>
    </w:rPr>
  </w:style>
  <w:style w:type="paragraph" w:customStyle="1" w:styleId="PreformattedText">
    <w:name w:val="Preformatted Text"/>
    <w:basedOn w:val="Standard"/>
  </w:style>
  <w:style w:type="character" w:customStyle="1" w:styleId="ListLabel19">
    <w:name w:val="ListLabel 19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20">
    <w:name w:val="ListLabel 20"/>
    <w:rPr>
      <w:sz w:val="28"/>
      <w:szCs w:val="28"/>
    </w:rPr>
  </w:style>
  <w:style w:type="character" w:customStyle="1" w:styleId="ListLabel21">
    <w:name w:val="ListLabel 21"/>
    <w:rPr>
      <w:sz w:val="28"/>
      <w:szCs w:val="28"/>
    </w:rPr>
  </w:style>
  <w:style w:type="character" w:customStyle="1" w:styleId="ListLabel22">
    <w:name w:val="ListLabel 22"/>
    <w:rPr>
      <w:sz w:val="28"/>
      <w:szCs w:val="28"/>
    </w:rPr>
  </w:style>
  <w:style w:type="character" w:customStyle="1" w:styleId="ListLabel23">
    <w:name w:val="ListLabel 23"/>
    <w:rPr>
      <w:sz w:val="28"/>
      <w:szCs w:val="28"/>
    </w:rPr>
  </w:style>
  <w:style w:type="character" w:customStyle="1" w:styleId="ListLabel24">
    <w:name w:val="ListLabel 24"/>
    <w:rPr>
      <w:sz w:val="28"/>
      <w:szCs w:val="28"/>
    </w:rPr>
  </w:style>
  <w:style w:type="character" w:customStyle="1" w:styleId="ListLabel25">
    <w:name w:val="ListLabel 25"/>
    <w:rPr>
      <w:sz w:val="28"/>
      <w:szCs w:val="28"/>
    </w:rPr>
  </w:style>
  <w:style w:type="character" w:customStyle="1" w:styleId="ListLabel26">
    <w:name w:val="ListLabel 26"/>
    <w:rPr>
      <w:sz w:val="28"/>
      <w:szCs w:val="28"/>
    </w:rPr>
  </w:style>
  <w:style w:type="character" w:customStyle="1" w:styleId="ListLabel27">
    <w:name w:val="ListLabel 27"/>
    <w:rPr>
      <w:sz w:val="28"/>
      <w:szCs w:val="28"/>
    </w:rPr>
  </w:style>
  <w:style w:type="paragraph" w:styleId="a5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6">
    <w:name w:val="WWNum6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Times New Roman" w:eastAsia="Courier New" w:hAnsi="Times New Roman" w:cs="Times New Roman"/>
      <w:sz w:val="20"/>
      <w:szCs w:val="20"/>
      <w:lang w:val="ru-RU" w:eastAsia="ru-RU" w:bidi="ar-SA"/>
    </w:rPr>
  </w:style>
  <w:style w:type="paragraph" w:customStyle="1" w:styleId="Textbodyuser">
    <w:name w:val="Text body (user)"/>
    <w:pPr>
      <w:widowControl w:val="0"/>
      <w:suppressAutoHyphens/>
      <w:spacing w:after="140" w:line="276" w:lineRule="auto"/>
      <w:textAlignment w:val="auto"/>
    </w:pPr>
    <w:rPr>
      <w:rFonts w:cs="Liberation Serif"/>
    </w:rPr>
  </w:style>
  <w:style w:type="paragraph" w:customStyle="1" w:styleId="PreformattedText">
    <w:name w:val="Preformatted Text"/>
    <w:basedOn w:val="Standard"/>
  </w:style>
  <w:style w:type="character" w:customStyle="1" w:styleId="ListLabel19">
    <w:name w:val="ListLabel 19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20">
    <w:name w:val="ListLabel 20"/>
    <w:rPr>
      <w:sz w:val="28"/>
      <w:szCs w:val="28"/>
    </w:rPr>
  </w:style>
  <w:style w:type="character" w:customStyle="1" w:styleId="ListLabel21">
    <w:name w:val="ListLabel 21"/>
    <w:rPr>
      <w:sz w:val="28"/>
      <w:szCs w:val="28"/>
    </w:rPr>
  </w:style>
  <w:style w:type="character" w:customStyle="1" w:styleId="ListLabel22">
    <w:name w:val="ListLabel 22"/>
    <w:rPr>
      <w:sz w:val="28"/>
      <w:szCs w:val="28"/>
    </w:rPr>
  </w:style>
  <w:style w:type="character" w:customStyle="1" w:styleId="ListLabel23">
    <w:name w:val="ListLabel 23"/>
    <w:rPr>
      <w:sz w:val="28"/>
      <w:szCs w:val="28"/>
    </w:rPr>
  </w:style>
  <w:style w:type="character" w:customStyle="1" w:styleId="ListLabel24">
    <w:name w:val="ListLabel 24"/>
    <w:rPr>
      <w:sz w:val="28"/>
      <w:szCs w:val="28"/>
    </w:rPr>
  </w:style>
  <w:style w:type="character" w:customStyle="1" w:styleId="ListLabel25">
    <w:name w:val="ListLabel 25"/>
    <w:rPr>
      <w:sz w:val="28"/>
      <w:szCs w:val="28"/>
    </w:rPr>
  </w:style>
  <w:style w:type="character" w:customStyle="1" w:styleId="ListLabel26">
    <w:name w:val="ListLabel 26"/>
    <w:rPr>
      <w:sz w:val="28"/>
      <w:szCs w:val="28"/>
    </w:rPr>
  </w:style>
  <w:style w:type="character" w:customStyle="1" w:styleId="ListLabel27">
    <w:name w:val="ListLabel 27"/>
    <w:rPr>
      <w:sz w:val="28"/>
      <w:szCs w:val="28"/>
    </w:rPr>
  </w:style>
  <w:style w:type="paragraph" w:styleId="a5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6">
    <w:name w:val="WWNum6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2012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2025-01-21T08:29:00Z</cp:lastPrinted>
  <dcterms:created xsi:type="dcterms:W3CDTF">2025-02-04T07:38:00Z</dcterms:created>
  <dcterms:modified xsi:type="dcterms:W3CDTF">2025-02-04T07:38:00Z</dcterms:modified>
</cp:coreProperties>
</file>