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0626CDA8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4E293E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UA-2024-11-01-005083-a</w:t>
      </w:r>
    </w:p>
    <w:p w14:paraId="18ABC048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19FBC5EE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05E43">
        <w:rPr>
          <w:rFonts w:ascii="Times New Roman" w:eastAsia="SimSun" w:hAnsi="Times New Roman" w:cs="Times New Roman"/>
          <w:sz w:val="24"/>
          <w:szCs w:val="24"/>
        </w:rPr>
        <w:t>отримання послуг з паспортизації водних об’</w:t>
      </w:r>
      <w:bookmarkStart w:id="1" w:name="_GoBack"/>
      <w:bookmarkEnd w:id="1"/>
      <w:r w:rsidR="00E05E43">
        <w:rPr>
          <w:rFonts w:ascii="Times New Roman" w:eastAsia="SimSun" w:hAnsi="Times New Roman" w:cs="Times New Roman"/>
          <w:sz w:val="24"/>
          <w:szCs w:val="24"/>
        </w:rPr>
        <w:t>єктів</w:t>
      </w:r>
    </w:p>
    <w:p w14:paraId="18764E2F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293F5AA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3651D2AD" w:rsid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A16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Закупівля проводиться з метою отримання послуг з паспортизації водних об'єктів для впорядкування використання водних об'єктів, охорону їх від забруднення, засмічення і вичерпання, запобігання шкідливій дії вод і ліквідації їх наслідків, поліпшення стану водних об'єктів</w:t>
      </w:r>
      <w:r w:rsidR="00E95B1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14:paraId="292E4757" w14:textId="6C21C7B2" w:rsidR="006A4394" w:rsidRDefault="003F46FE" w:rsidP="006A4394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51612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B5161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UA-2024-11-01-005083-a</w:t>
      </w:r>
    </w:p>
    <w:p w14:paraId="0530C452" w14:textId="00DD9574" w:rsidR="00E95B1C" w:rsidRDefault="003F46FE" w:rsidP="00E95B1C">
      <w:pPr>
        <w:widowControl w:val="0"/>
        <w:suppressAutoHyphens/>
        <w:autoSpaceDN w:val="0"/>
        <w:spacing w:line="240" w:lineRule="auto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E452B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FE452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Послуги з паспортизації водних об'єктів Решетилівської міської територіальної громади Полтавської області</w:t>
      </w:r>
      <w:r w:rsid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ДК 021:2015:71350000-6 Науково-технічні послуги в галузі інженерії</w:t>
      </w:r>
    </w:p>
    <w:p w14:paraId="4D905BE9" w14:textId="5A6F13E8" w:rsidR="003E3DFD" w:rsidRPr="00230E0B" w:rsidRDefault="003F46FE" w:rsidP="00E95B1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E95B1C">
        <w:rPr>
          <w:rFonts w:ascii="Times New Roman" w:eastAsia="SimSun" w:hAnsi="Times New Roman" w:cs="Times New Roman"/>
          <w:sz w:val="24"/>
          <w:szCs w:val="24"/>
        </w:rPr>
        <w:t>179 500</w:t>
      </w:r>
      <w:r w:rsidR="004E293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4E293E">
        <w:rPr>
          <w:rFonts w:ascii="Times New Roman" w:eastAsia="SimSun" w:hAnsi="Times New Roman" w:cs="Times New Roman"/>
          <w:sz w:val="24"/>
          <w:szCs w:val="24"/>
        </w:rPr>
        <w:t>грн</w:t>
      </w:r>
      <w:proofErr w:type="spellEnd"/>
      <w:r w:rsidR="004E293E">
        <w:rPr>
          <w:rFonts w:ascii="Times New Roman" w:eastAsia="SimSun" w:hAnsi="Times New Roman" w:cs="Times New Roman"/>
          <w:sz w:val="24"/>
          <w:szCs w:val="24"/>
        </w:rPr>
        <w:t xml:space="preserve"> 00 копійок</w:t>
      </w:r>
      <w:r w:rsidR="00E95B1C">
        <w:rPr>
          <w:rFonts w:ascii="Times New Roman" w:eastAsia="SimSun" w:hAnsi="Times New Roman" w:cs="Times New Roman"/>
          <w:sz w:val="24"/>
          <w:szCs w:val="24"/>
        </w:rPr>
        <w:t xml:space="preserve"> (Сто сімдесят дев’ять </w:t>
      </w:r>
      <w:r w:rsidR="006A4394">
        <w:rPr>
          <w:rFonts w:ascii="Times New Roman" w:eastAsia="SimSun" w:hAnsi="Times New Roman" w:cs="Times New Roman"/>
          <w:sz w:val="24"/>
          <w:szCs w:val="24"/>
        </w:rPr>
        <w:t xml:space="preserve"> тисяч</w:t>
      </w:r>
      <w:r w:rsidR="00E95B1C">
        <w:rPr>
          <w:rFonts w:ascii="Times New Roman" w:eastAsia="SimSun" w:hAnsi="Times New Roman" w:cs="Times New Roman"/>
          <w:sz w:val="24"/>
          <w:szCs w:val="24"/>
        </w:rPr>
        <w:t xml:space="preserve"> п’ятсот </w:t>
      </w:r>
      <w:r w:rsidR="006A439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sz w:val="24"/>
          <w:szCs w:val="24"/>
        </w:rPr>
        <w:t>гривень 00 копійок)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230E0B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4032A41A" w14:textId="77777777" w:rsidR="00E05E43" w:rsidRPr="002869B9" w:rsidRDefault="00424D3D" w:rsidP="00E0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7333"/>
      </w:tblGrid>
      <w:tr w:rsidR="00E05E43" w:rsidRPr="00870BF4" w14:paraId="5DB42FDF" w14:textId="77777777" w:rsidTr="00A463A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E50CF" w14:textId="77777777" w:rsidR="00E05E43" w:rsidRPr="00F06E5E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F0D76" w14:textId="77777777" w:rsidR="00E05E43" w:rsidRPr="00F06E5E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Основні відомості, вимоги</w:t>
            </w:r>
          </w:p>
        </w:tc>
      </w:tr>
      <w:tr w:rsidR="00E05E43" w:rsidRPr="00870BF4" w14:paraId="11445BE1" w14:textId="77777777" w:rsidTr="00A463A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6D34" w14:textId="77777777" w:rsidR="00E05E43" w:rsidRPr="00F06E5E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35303" w14:textId="77777777" w:rsidR="00E05E43" w:rsidRPr="00F06E5E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sz w:val="24"/>
                <w:szCs w:val="24"/>
              </w:rPr>
              <w:t xml:space="preserve">Водні об’єкти на </w:t>
            </w:r>
            <w:r w:rsidRPr="00F06E5E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території Решетилівської міської територіальної громади Полтавської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відповідно до Таблиці 1</w:t>
            </w:r>
          </w:p>
        </w:tc>
      </w:tr>
      <w:tr w:rsidR="00E05E43" w:rsidRPr="00870BF4" w14:paraId="398EDE29" w14:textId="77777777" w:rsidTr="00A463A0">
        <w:trPr>
          <w:trHeight w:val="6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58CA6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 виконання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181D6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паспортів водних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відповідно до діючих вимог чинного законодавства України</w:t>
            </w:r>
          </w:p>
        </w:tc>
      </w:tr>
      <w:tr w:rsidR="00E05E43" w:rsidRPr="00870BF4" w14:paraId="0754C8E9" w14:textId="77777777" w:rsidTr="00A463A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DA88E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Вихідні дані для надання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82B60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планово-картографічні матеріали (карта-схема розташування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єкта)</w:t>
            </w:r>
          </w:p>
        </w:tc>
      </w:tr>
      <w:tr w:rsidR="00E05E43" w:rsidRPr="00870BF4" w14:paraId="2F523F51" w14:textId="77777777" w:rsidTr="00A463A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C4D9D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A5801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Розробка </w:t>
            </w:r>
            <w:hyperlink r:id="rId8" w:anchor="n99" w:history="1">
              <w:r w:rsidRPr="00870BF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Паспорту водного об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’</w:t>
              </w:r>
              <w:r w:rsidRPr="00870BF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єкта</w:t>
              </w:r>
            </w:hyperlink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складається із:</w:t>
            </w:r>
          </w:p>
          <w:p w14:paraId="367EDB48" w14:textId="77777777" w:rsidR="00E05E43" w:rsidRPr="00870BF4" w:rsidRDefault="00E05E43" w:rsidP="00E05E4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вивчення картографічних, геологічних, гідрологічних та інших матеріалів, які характеризують стан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єкта;</w:t>
            </w:r>
          </w:p>
          <w:p w14:paraId="3BAF267C" w14:textId="77777777" w:rsidR="00E05E43" w:rsidRPr="00870BF4" w:rsidRDefault="00E05E43" w:rsidP="00E05E4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вивчення технічних характеристик гідротехнічних споруд, використання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земель водного фонду, визначення можливості зменшення впливу господарської діяльності на водні ресурси;</w:t>
            </w:r>
          </w:p>
          <w:p w14:paraId="496427E8" w14:textId="77777777" w:rsidR="00E05E43" w:rsidRPr="00870BF4" w:rsidRDefault="00E05E43" w:rsidP="00E05E4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 - геодезичних робіт, обстеження та замірів гідроспоруд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земельної ділянки під водою при відмітці НПР з виїздом на місце розташування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 і земельної ділянки;</w:t>
            </w:r>
          </w:p>
          <w:p w14:paraId="225BC65A" w14:textId="77777777" w:rsidR="00E05E43" w:rsidRPr="00870BF4" w:rsidRDefault="00E05E43" w:rsidP="00E05E4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камеральної обробки результатів топографо-геодезичних вишукувань, створення топографічного плану в заданій системі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 та Балтійській системі висот із заданим кроком горизонталей;</w:t>
            </w:r>
          </w:p>
          <w:p w14:paraId="35D520B8" w14:textId="77777777" w:rsidR="00E05E43" w:rsidRPr="00870BF4" w:rsidRDefault="00E05E43" w:rsidP="00E05E4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виконання гідрологічних розрахунків стану водотоку, наповнення, фільтрації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випаровування водного дзеркала при відмітці НПР;</w:t>
            </w:r>
          </w:p>
          <w:p w14:paraId="4C550B42" w14:textId="77777777" w:rsidR="00E05E43" w:rsidRPr="00870BF4" w:rsidRDefault="00E05E43" w:rsidP="00E05E4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складання короткої пояснювальної записки розрахунків, характеристики гідроспоруд, земельної ділянки під водою. Складання графічних матеріалів (ситуаційного плану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земельної ділянки під водою при відмітці НПР, плану гідровузла, плану та розрізів основних елементів гідровузла, поздовжній профіль по осі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поперечних перерізів у характерних місцях водойми). Побудова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графіка залежності площі водного дзеркала та його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єму від відмітки рівня води, відповідно до затвердженого наказом Міністерства екології та природних ресурсів України 18 березня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року № 99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зареєстрованого в Міністерстві юстиції України 18 травня 2013 року за № 775/23307 (із змінами);</w:t>
            </w:r>
          </w:p>
          <w:p w14:paraId="759DC9B3" w14:textId="77777777" w:rsidR="00E05E43" w:rsidRPr="00F06E5E" w:rsidRDefault="00E05E43" w:rsidP="00E05E4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подачі матеріалів на погодження паспорту водного об’єкта з Державним агентством водних ресурсів України;</w:t>
            </w:r>
          </w:p>
          <w:p w14:paraId="414FD95B" w14:textId="77777777" w:rsidR="00E05E43" w:rsidRPr="00870BF4" w:rsidRDefault="00E05E43" w:rsidP="00E05E4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усунення зауважень Державного агентства водних ресурсів України в повному обсязі (за наявності) та отримання позитивного висновку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єкти.</w:t>
            </w:r>
          </w:p>
        </w:tc>
      </w:tr>
      <w:tr w:rsidR="00E05E43" w:rsidRPr="00870BF4" w14:paraId="778B90A5" w14:textId="77777777" w:rsidTr="00A463A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3D64E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Вимоги до надання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11394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Паспорт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 розробляється окремо на кожний водний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 у відповідності до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затвердженого наказом Міністерства екології та природних ресурсів України від 18.03.2013 № 99, зареєстрованого в Міністерстві юстиції України 18 травня 2013 року за № 775/23307 (із змінами).</w:t>
            </w:r>
          </w:p>
          <w:p w14:paraId="2968D2CF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надаються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 у відповідності до Водного та Земельного кодексів України,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затвердженого наказом Міністерства екології та природних ресурсів України 18 березня 2013 року № 99, зареєстрованого в Міністерстві юстиції України 18 травня 2013 року за № 775/23307 (із змінами).</w:t>
            </w:r>
          </w:p>
          <w:p w14:paraId="356C1D76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Паспорт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єкта розробляється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формою згідно додатку до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зокрема:</w:t>
            </w:r>
          </w:p>
          <w:p w14:paraId="0FB31A4A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Коротка пояснювальна записка.</w:t>
            </w:r>
          </w:p>
          <w:p w14:paraId="65043F94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річки (водотоку).</w:t>
            </w:r>
          </w:p>
          <w:p w14:paraId="6F080188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єкта.</w:t>
            </w:r>
          </w:p>
          <w:p w14:paraId="212FA669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греблі.</w:t>
            </w:r>
          </w:p>
          <w:p w14:paraId="3C0FC21E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водоскидної споруди.</w:t>
            </w:r>
          </w:p>
          <w:p w14:paraId="4396C6AD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відвідного каналу.</w:t>
            </w:r>
          </w:p>
          <w:p w14:paraId="0A50A328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прибережної захисної смуги.</w:t>
            </w:r>
          </w:p>
          <w:p w14:paraId="528FF3DF" w14:textId="77777777" w:rsidR="00E05E43" w:rsidRPr="00870BF4" w:rsidRDefault="00E05E43" w:rsidP="00E05E43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Графічні матеріали.</w:t>
            </w:r>
          </w:p>
        </w:tc>
      </w:tr>
      <w:tr w:rsidR="00E05E43" w:rsidRPr="00870BF4" w14:paraId="00F11395" w14:textId="77777777" w:rsidTr="00A463A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8F397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5C630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Строк надання Послуг: початок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Виконавець розпочинає надання послуг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відповідності до договору. 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Закінчення надання послуг і здачі результатів ЗАМОВНИКУ – 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15.12.2024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 можливості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послуг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достроково.</w:t>
            </w:r>
          </w:p>
        </w:tc>
      </w:tr>
      <w:tr w:rsidR="00E05E43" w:rsidRPr="00870BF4" w14:paraId="550FE53E" w14:textId="77777777" w:rsidTr="00A463A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8DD12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Матеріали, які подаються за результатами надання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5E03F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Чотири примірники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єкта, які зберігаються по одному: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басейновому управлінні водних ресурсів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Державному агентстві водних ресурсів України.</w:t>
            </w:r>
          </w:p>
          <w:p w14:paraId="6CC8949F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Два примірника </w:t>
            </w:r>
            <w:r w:rsidRPr="002055F5">
              <w:rPr>
                <w:rFonts w:ascii="Times New Roman" w:hAnsi="Times New Roman" w:cs="Times New Roman"/>
                <w:sz w:val="24"/>
                <w:szCs w:val="24"/>
              </w:rPr>
              <w:t>зберігаються у Замовника, один з яких надається орендарю на період оренди водного об’єкта.</w:t>
            </w:r>
          </w:p>
          <w:p w14:paraId="65FA7964" w14:textId="77777777" w:rsidR="00E05E43" w:rsidRPr="00870BF4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Додатково Замовнику надається паспорт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 в електронному вигляді на оптичному диску. На диску повинен міститись відповідний запис назви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 та рік створення.</w:t>
            </w:r>
          </w:p>
        </w:tc>
      </w:tr>
    </w:tbl>
    <w:p w14:paraId="5DDA5549" w14:textId="77777777" w:rsidR="00E05E43" w:rsidRDefault="00E05E43" w:rsidP="00E05E43">
      <w:pPr>
        <w:pStyle w:val="1"/>
        <w:ind w:left="118" w:right="179"/>
        <w:jc w:val="both"/>
        <w:rPr>
          <w:rFonts w:ascii="Times New Roman" w:hAnsi="Times New Roman" w:cs="Times New Roman"/>
          <w:b/>
          <w:bCs/>
        </w:rPr>
      </w:pPr>
    </w:p>
    <w:p w14:paraId="1C06C297" w14:textId="77777777" w:rsidR="00E05E43" w:rsidRDefault="00E05E43" w:rsidP="00E05E43">
      <w:pPr>
        <w:rPr>
          <w:lang w:eastAsia="ru-RU"/>
        </w:rPr>
      </w:pPr>
    </w:p>
    <w:p w14:paraId="4A63D201" w14:textId="77777777" w:rsidR="00E05E43" w:rsidRDefault="00E05E43" w:rsidP="00E05E43">
      <w:pPr>
        <w:rPr>
          <w:lang w:eastAsia="ru-RU"/>
        </w:rPr>
      </w:pPr>
    </w:p>
    <w:p w14:paraId="727C3E36" w14:textId="77777777" w:rsidR="00E05E43" w:rsidRDefault="00E05E43" w:rsidP="00E05E43">
      <w:pPr>
        <w:rPr>
          <w:lang w:eastAsia="ru-RU"/>
        </w:rPr>
      </w:pPr>
    </w:p>
    <w:p w14:paraId="236B9342" w14:textId="77777777" w:rsidR="00E05E43" w:rsidRDefault="00E05E43" w:rsidP="00E05E43">
      <w:pPr>
        <w:rPr>
          <w:lang w:eastAsia="ru-RU"/>
        </w:rPr>
      </w:pPr>
    </w:p>
    <w:p w14:paraId="70FD0558" w14:textId="77777777" w:rsidR="00E05E43" w:rsidRDefault="00E05E43" w:rsidP="00E05E43">
      <w:pPr>
        <w:rPr>
          <w:lang w:eastAsia="ru-RU"/>
        </w:rPr>
      </w:pPr>
    </w:p>
    <w:p w14:paraId="35C2EDEA" w14:textId="77777777" w:rsidR="00E05E43" w:rsidRDefault="00E05E43" w:rsidP="00E05E43">
      <w:pPr>
        <w:rPr>
          <w:lang w:eastAsia="ru-RU"/>
        </w:rPr>
      </w:pPr>
    </w:p>
    <w:p w14:paraId="122E080C" w14:textId="77777777" w:rsidR="00E05E43" w:rsidRDefault="00E05E43" w:rsidP="00E05E43">
      <w:pPr>
        <w:rPr>
          <w:lang w:eastAsia="ru-RU"/>
        </w:rPr>
      </w:pPr>
    </w:p>
    <w:p w14:paraId="0AF76644" w14:textId="77777777" w:rsidR="00E05E43" w:rsidRDefault="00E05E43" w:rsidP="00E05E43">
      <w:pPr>
        <w:rPr>
          <w:lang w:eastAsia="ru-RU"/>
        </w:rPr>
      </w:pPr>
    </w:p>
    <w:p w14:paraId="501AF121" w14:textId="77777777" w:rsidR="00E05E43" w:rsidRDefault="00E05E43" w:rsidP="00E05E43">
      <w:pPr>
        <w:rPr>
          <w:lang w:eastAsia="ru-RU"/>
        </w:rPr>
      </w:pPr>
    </w:p>
    <w:p w14:paraId="34A16232" w14:textId="77777777" w:rsidR="00E05E43" w:rsidRPr="002869B9" w:rsidRDefault="00E05E43" w:rsidP="00E05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9B9">
        <w:rPr>
          <w:rFonts w:ascii="Times New Roman" w:hAnsi="Times New Roman" w:cs="Times New Roman"/>
          <w:sz w:val="24"/>
          <w:szCs w:val="24"/>
        </w:rPr>
        <w:t>Таблиця №1</w:t>
      </w:r>
    </w:p>
    <w:p w14:paraId="2E40DE86" w14:textId="77777777" w:rsidR="00E05E43" w:rsidRPr="002869B9" w:rsidRDefault="00E05E43" w:rsidP="00E05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9B9">
        <w:rPr>
          <w:rFonts w:ascii="Times New Roman" w:hAnsi="Times New Roman" w:cs="Times New Roman"/>
          <w:sz w:val="24"/>
          <w:szCs w:val="24"/>
        </w:rPr>
        <w:t>ПЕРЕЛІК</w:t>
      </w:r>
    </w:p>
    <w:p w14:paraId="09A583AA" w14:textId="77777777" w:rsidR="00E05E43" w:rsidRPr="002869B9" w:rsidRDefault="00E05E43" w:rsidP="00E05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9B9">
        <w:rPr>
          <w:rFonts w:ascii="Times New Roman" w:hAnsi="Times New Roman" w:cs="Times New Roman"/>
          <w:sz w:val="24"/>
          <w:szCs w:val="24"/>
        </w:rPr>
        <w:t xml:space="preserve">водних об’єктів, розташованих на </w:t>
      </w:r>
      <w:r w:rsidRPr="002869B9">
        <w:rPr>
          <w:rFonts w:ascii="Times New Roman" w:hAnsi="Times New Roman" w:cs="Times New Roman"/>
          <w:bCs/>
          <w:sz w:val="24"/>
          <w:szCs w:val="24"/>
        </w:rPr>
        <w:t>території Решетилівської міської територіальної громади Полтавської області</w:t>
      </w:r>
      <w:r w:rsidRPr="002869B9">
        <w:rPr>
          <w:rFonts w:ascii="Times New Roman" w:hAnsi="Times New Roman" w:cs="Times New Roman"/>
          <w:sz w:val="24"/>
          <w:szCs w:val="24"/>
        </w:rPr>
        <w:t>, які підлягають паспортизації</w:t>
      </w:r>
    </w:p>
    <w:p w14:paraId="2DB8C117" w14:textId="77777777" w:rsidR="00E05E43" w:rsidRPr="002869B9" w:rsidRDefault="00E05E43" w:rsidP="00E05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jc w:val="center"/>
        <w:tblInd w:w="-5" w:type="dxa"/>
        <w:tblLook w:val="04A0" w:firstRow="1" w:lastRow="0" w:firstColumn="1" w:lastColumn="0" w:noHBand="0" w:noVBand="1"/>
      </w:tblPr>
      <w:tblGrid>
        <w:gridCol w:w="518"/>
        <w:gridCol w:w="4430"/>
        <w:gridCol w:w="1772"/>
        <w:gridCol w:w="2848"/>
      </w:tblGrid>
      <w:tr w:rsidR="00E05E43" w:rsidRPr="002055F5" w14:paraId="1D86B67C" w14:textId="77777777" w:rsidTr="00A463A0">
        <w:trPr>
          <w:trHeight w:val="10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48E7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8C94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 розташування водного об’єкта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C842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водного об’єкта (ставок, водосховище, тощо)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522E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 водного дзеркала водного об’єкта (орієнтовна), гектарів</w:t>
            </w:r>
          </w:p>
        </w:tc>
      </w:tr>
      <w:tr w:rsidR="00E05E43" w:rsidRPr="002055F5" w14:paraId="78E4212F" w14:textId="77777777" w:rsidTr="00A463A0">
        <w:trPr>
          <w:trHeight w:val="33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6B9E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46B90" w14:textId="77777777" w:rsidR="00E05E43" w:rsidRPr="002055F5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Решетилівка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F1AA7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ставок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E3A01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E05E43" w:rsidRPr="002055F5" w14:paraId="6FB3E4D6" w14:textId="77777777" w:rsidTr="00A463A0">
        <w:trPr>
          <w:trHeight w:val="33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0CB2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F5FC" w14:textId="77777777" w:rsidR="00E05E43" w:rsidRPr="002055F5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межами с. Лиман Другий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A9EE9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ставок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2CBB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05E43" w:rsidRPr="002055F5" w14:paraId="3E79C331" w14:textId="77777777" w:rsidTr="00A463A0">
        <w:trPr>
          <w:trHeight w:val="33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DCF4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F562E" w14:textId="77777777" w:rsidR="00E05E43" w:rsidRPr="002055F5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Дем’янці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FEE0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ставок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9AE3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05E43" w:rsidRPr="002055F5" w14:paraId="0E375898" w14:textId="77777777" w:rsidTr="00A463A0">
        <w:trPr>
          <w:trHeight w:val="33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08A3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24D40" w14:textId="77777777" w:rsidR="00E05E43" w:rsidRPr="002055F5" w:rsidRDefault="00E05E43" w:rsidP="00A4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Пащенки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A69A4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ставок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86CE" w14:textId="77777777" w:rsidR="00E05E43" w:rsidRPr="002055F5" w:rsidRDefault="00E05E43" w:rsidP="00A46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</w:tr>
    </w:tbl>
    <w:p w14:paraId="7C4E64D4" w14:textId="77777777" w:rsidR="00E05E43" w:rsidRPr="00870BF4" w:rsidRDefault="00E05E43" w:rsidP="00E05E43">
      <w:pPr>
        <w:tabs>
          <w:tab w:val="left" w:pos="6521"/>
        </w:tabs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</w:rPr>
      </w:pPr>
    </w:p>
    <w:p w14:paraId="667F2042" w14:textId="77777777" w:rsidR="00E05E43" w:rsidRPr="0043600E" w:rsidRDefault="00E05E43" w:rsidP="00E05E43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057EEF" w14:textId="77777777" w:rsidR="00E05E43" w:rsidRPr="0043600E" w:rsidRDefault="00E05E43" w:rsidP="00E05E43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E37370" w14:textId="77777777" w:rsidR="00E05E43" w:rsidRPr="0043600E" w:rsidRDefault="00E05E43" w:rsidP="00E05E43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57E25B" w14:textId="77777777" w:rsidR="006A4394" w:rsidRDefault="006A4394" w:rsidP="00424D3D">
      <w:pPr>
        <w:jc w:val="both"/>
        <w:rPr>
          <w:i/>
        </w:rPr>
      </w:pPr>
    </w:p>
    <w:p w14:paraId="273CBB04" w14:textId="77777777" w:rsidR="006A4394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FDF4F55" w14:textId="77777777" w:rsidR="006A4394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7D65087" w14:textId="7DCC9408" w:rsidR="00424D3D" w:rsidRDefault="00424D3D" w:rsidP="00424D3D">
      <w:pPr>
        <w:jc w:val="both"/>
        <w:rPr>
          <w:i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230E0B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230E0B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6E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230E0B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230E0B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230E0B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230E0B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09D0"/>
    <w:multiLevelType w:val="hybridMultilevel"/>
    <w:tmpl w:val="31A25B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29E900FD"/>
    <w:multiLevelType w:val="hybridMultilevel"/>
    <w:tmpl w:val="53B8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E05E43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95B1C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C1241"/>
    <w:rsid w:val="00FD000F"/>
    <w:rsid w:val="00FD5A09"/>
    <w:rsid w:val="00FE452B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75-13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F16EB-F568-49B6-BABF-9DB60171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2024-11-01T12:52:00Z</cp:lastPrinted>
  <dcterms:created xsi:type="dcterms:W3CDTF">2024-11-01T12:53:00Z</dcterms:created>
  <dcterms:modified xsi:type="dcterms:W3CDTF">2024-11-01T12:53:00Z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