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AE" w:rsidRDefault="0046002C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ЗВІТ</w:t>
      </w:r>
    </w:p>
    <w:p w:rsidR="005722AE" w:rsidRDefault="0046002C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старости на території сіл Каленики, Хрещате</w:t>
      </w:r>
    </w:p>
    <w:p w:rsidR="005722AE" w:rsidRDefault="0046002C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 2025 рік</w:t>
      </w:r>
    </w:p>
    <w:p w:rsidR="005722AE" w:rsidRDefault="0046002C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</w:p>
    <w:p w:rsidR="005722AE" w:rsidRDefault="0046002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Конституцією та законами України, актами Президента України, Кабінету Міністрів, Статутом Решетилівської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міської ради, Положенням про старосту та іншими нормативно-правовими актами, що визначають порядок моєї діяльності, звітую про роботу за 2025 рік.</w:t>
      </w:r>
    </w:p>
    <w:p w:rsidR="005722AE" w:rsidRDefault="0046002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З 16 грудня 2020року затверджена старостою на території сіл Каленики, Хрещате.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До моєї зони відповідальност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 відносять такі сільські населені пункти: Каленики і Хрещате.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В старостаті працюють: староста, діловод, землевпорядник, працівник з благоустрою.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Станом на 01 грудня 2025 року на території Калениківського старостинського округу налічувалось 208 господар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 зареєстровано 566 чол. В с.Каленики - 402 чол., с.Хрещате - 164  чол. Дітей – 100 чол., пенсіонерів – 159 чол.</w:t>
      </w:r>
    </w:p>
    <w:p w:rsidR="005722AE" w:rsidRDefault="0046002C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звітний період померло 15  чоловік, народилось 2 дітей</w:t>
      </w:r>
    </w:p>
    <w:p w:rsidR="005722AE" w:rsidRDefault="0046002C">
      <w:pPr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території сіл працюють ЗЗСО I-III ступенів, дошкільний дитячий заклад «Соне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чко», Будинок культури, клуб, дві сільські бібліотеки, фельдшерський пункт, п`ять закладів торгівлі, два пересувні відділення пошти. Території біля установ утримуються в належному стані, прибираються узбіччя вулиць, на дитячих майданчиках та біля кладовищ,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пам`ятних місць.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Наявне автобусне сполучення з містами Решетилівка і Полтава.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В селах організовано централізований збір ТПВ - ПП ,,Житлосервіс”.</w:t>
      </w:r>
    </w:p>
    <w:p w:rsidR="005722AE" w:rsidRDefault="0046002C">
      <w:pPr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і раніше, в підпорядкованих селах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здійснюється погосподарський облік,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видаються довідки у межах наданих повноважень для оформлення субсидій, компенсацій та за місцем вимог. Всього за дванадцять місяців звітного року було видано 140 довідок різного характеру, перевірено та складено – 35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тів обстеження матеріально-побутових умов проживання.</w:t>
      </w:r>
    </w:p>
    <w:p w:rsidR="005722AE" w:rsidRDefault="0046002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Ведеться облік військовозобов’язаних, здійснено 24 оповіщень військовозобов’язаних та призовників, складаються списки юнаків для приписки до призивної дільниці, ведеться облік учасників АТО та бойових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дій. Ведеться облік всіх пільгових категорій, які проживають на території округу, подаються документи пільгових категорій в управління соціального захисту населення для нарахування компенсацій на придбання твердого палива, скрапленого газу та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електроенергії.</w:t>
      </w:r>
    </w:p>
    <w:p w:rsidR="005722AE" w:rsidRDefault="0046002C">
      <w:pPr>
        <w:pStyle w:val="Textbody"/>
        <w:shd w:val="clear" w:color="auto" w:fill="FFFFFF"/>
        <w:tabs>
          <w:tab w:val="left" w:pos="0"/>
        </w:tabs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Брала участь в організації виконання рішень Решетилівської міської ради, її виконавчого комітету, розпоряджень Решетилівського міського  голови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території відповідного старостинського округу та у здійсненні контролю за їх виконанням.</w:t>
      </w:r>
    </w:p>
    <w:p w:rsidR="005722AE" w:rsidRDefault="0046002C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У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025 році підпорядковані села продовжували жити у стані війни.</w:t>
      </w:r>
    </w:p>
    <w:p w:rsidR="005722AE" w:rsidRDefault="0046002C">
      <w:pPr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Жителі нашої громади активно долучалися до волонтерського руху. У березні 2024 року за ініціативи Михайла Болгарчука в приміщенні старостату було організовано плетіння маскувальних сіток. Робота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була продовжена і у звітному році До цієї справи долучився майже кожен житель Калеників. </w:t>
      </w:r>
      <w:r>
        <w:rPr>
          <w:rFonts w:ascii="Times New Roman" w:hAnsi="Times New Roman" w:cs="Times New Roman"/>
          <w:sz w:val="28"/>
          <w:szCs w:val="28"/>
        </w:rPr>
        <w:t>«Калениківські павучки» сплели їх вже близько 3000 м2, які передавали захисникам з нашої громади, а також тим, хто до нас звертався.</w:t>
      </w:r>
    </w:p>
    <w:p w:rsidR="005722AE" w:rsidRDefault="0046002C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Проводили благодійні заходи та яр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марки. У травні - грудні за участю аматорів сцени Калениківського СБК-філії та інших художніх колективів громади, були проведені благодійні ярмарки та концерти на підтримку ЗСУ. Виручені кошти у сумі 34350 гривень, а також донати від жителів громади в сумі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3100 гривень були спрямовані на закупівлю матеріалів для виготовлення маскувальних сіток. Активно долучалися до благодійних заходів і учні та педагогічний колектив Калениківського ЗЗСО І-ІІІ ст..</w:t>
      </w:r>
    </w:p>
    <w:p w:rsidR="005722AE" w:rsidRDefault="0046002C">
      <w:pPr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Житель села Хрещате - Микола Миколаєнко виготовляв окопні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вічки, які передавали н</w:t>
      </w:r>
      <w:r>
        <w:rPr>
          <w:rFonts w:ascii="Times New Roman" w:hAnsi="Times New Roman" w:cs="Times New Roman"/>
          <w:sz w:val="28"/>
          <w:szCs w:val="28"/>
        </w:rPr>
        <w:t>ашій волонтерці Приходько Віті та за потреби іншим військовим. Мешканці громади допомагали сільськогосподарською продукцією та теплими речами для Спілки АТО.</w:t>
      </w:r>
    </w:p>
    <w:p w:rsidR="005722AE" w:rsidRDefault="0046002C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Заклади культури та бібліотеки, що знаходяться на території сіл, проводили </w:t>
      </w:r>
      <w:r>
        <w:rPr>
          <w:rFonts w:ascii="Times New Roman" w:hAnsi="Times New Roman" w:cs="Times New Roman"/>
          <w:sz w:val="28"/>
          <w:szCs w:val="28"/>
        </w:rPr>
        <w:t>збори засобів гігієни та продуктів харчування, які передавали  волонтерам та безпосередньо  військовим.</w:t>
      </w:r>
    </w:p>
    <w:p w:rsidR="005722AE" w:rsidRDefault="004600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Калениківська громада підтримує екологічні ініціативи. У цьому році  ми разом із Калениківським ЗЗСО І-ІІІ ступенів взяли участь у конкурсі для шкіл Пол</w:t>
      </w:r>
      <w:r>
        <w:rPr>
          <w:rFonts w:ascii="Times New Roman" w:hAnsi="Times New Roman" w:cs="Times New Roman"/>
          <w:sz w:val="28"/>
          <w:szCs w:val="28"/>
        </w:rPr>
        <w:t>тавської області, метою якого був збір використаних батарейок, люмінесцентних ламп та ртутних термометрів та передача їх до обласного Екобусу. Продовжуємо і надалі піклуватися про наше довкілля.</w:t>
      </w:r>
    </w:p>
    <w:p w:rsidR="005722AE" w:rsidRDefault="0046002C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 початку збройної агресії приймаємо внутрішньо переміщених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сіб. В цілому ми прийняли 116 людей. У 2025 році прихисток було надано ще 8 особам. На кінець звітного року на території старостинського округу проживає 42 переселенці.</w:t>
      </w:r>
    </w:p>
    <w:p w:rsidR="005722AE" w:rsidRDefault="0046002C">
      <w:pPr>
        <w:pStyle w:val="Textbody"/>
        <w:shd w:val="clear" w:color="auto" w:fill="FFFFFF"/>
        <w:tabs>
          <w:tab w:val="left" w:pos="1140"/>
        </w:tabs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звітний період виконувала письмові та усні доручення міської ради, виконавчого коміт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ету, міського голови. Співпрацювала з відділами виконавчого комітету та надавала всю необхідну інформацію, що стосувалася підвідомчої території.</w:t>
      </w:r>
    </w:p>
    <w:p w:rsidR="005722AE" w:rsidRDefault="0046002C">
      <w:pPr>
        <w:pStyle w:val="PreformattedText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Створювала умови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недопущення на території старостинського округу дій чи бездіяльності, які можуть зашкодити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інтересам жителів. Дотримувалась правил службової етики, встановлених відповідними актами міської ради.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Працюю для покращення умов проживання жителів наших сіл , надання їм необхідної допомоги.  </w:t>
      </w:r>
    </w:p>
    <w:p w:rsidR="005722AE" w:rsidRDefault="005722A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22AE" w:rsidRDefault="005722A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22AE" w:rsidRDefault="005722A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22AE" w:rsidRDefault="0046002C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Староста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Валентина Каленчук</w:t>
      </w:r>
    </w:p>
    <w:sectPr w:rsidR="005722AE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2C" w:rsidRDefault="0046002C">
      <w:pPr>
        <w:rPr>
          <w:rFonts w:hint="eastAsia"/>
        </w:rPr>
      </w:pPr>
      <w:r>
        <w:separator/>
      </w:r>
    </w:p>
  </w:endnote>
  <w:endnote w:type="continuationSeparator" w:id="0">
    <w:p w:rsidR="0046002C" w:rsidRDefault="004600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2C" w:rsidRDefault="0046002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6002C" w:rsidRDefault="004600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1C"/>
    <w:multiLevelType w:val="multilevel"/>
    <w:tmpl w:val="4C40BB2A"/>
    <w:styleLink w:val="WWNum2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1">
    <w:nsid w:val="108B44BA"/>
    <w:multiLevelType w:val="multilevel"/>
    <w:tmpl w:val="C57EFD1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725C7985"/>
    <w:multiLevelType w:val="multilevel"/>
    <w:tmpl w:val="4F585566"/>
    <w:styleLink w:val="WWNum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ind w:left="180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ind w:left="216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ind w:left="252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ind w:left="288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ind w:left="324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ind w:left="360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ind w:left="3960" w:hanging="360"/>
      </w:pPr>
      <w:rPr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22AE"/>
    <w:rsid w:val="0046002C"/>
    <w:rsid w:val="005722AE"/>
    <w:rsid w:val="00A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val="ru-RU" w:eastAsia="ru-RU" w:bidi="ar-SA"/>
    </w:rPr>
  </w:style>
  <w:style w:type="paragraph" w:customStyle="1" w:styleId="Textbodyuser">
    <w:name w:val="Text body (user)"/>
    <w:pPr>
      <w:widowControl w:val="0"/>
      <w:suppressAutoHyphens/>
      <w:spacing w:after="140" w:line="276" w:lineRule="auto"/>
      <w:textAlignment w:val="auto"/>
    </w:pPr>
    <w:rPr>
      <w:rFonts w:cs="Liberation Serif"/>
    </w:rPr>
  </w:style>
  <w:style w:type="paragraph" w:customStyle="1" w:styleId="PreformattedText">
    <w:name w:val="Preformatted Text"/>
    <w:basedOn w:val="Standard"/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0">
    <w:name w:val="ListLabel 20"/>
    <w:rPr>
      <w:sz w:val="28"/>
      <w:szCs w:val="28"/>
    </w:rPr>
  </w:style>
  <w:style w:type="character" w:customStyle="1" w:styleId="ListLabel21">
    <w:name w:val="ListLabel 21"/>
    <w:rPr>
      <w:sz w:val="28"/>
      <w:szCs w:val="28"/>
    </w:rPr>
  </w:style>
  <w:style w:type="character" w:customStyle="1" w:styleId="ListLabel22">
    <w:name w:val="ListLabel 22"/>
    <w:rPr>
      <w:sz w:val="28"/>
      <w:szCs w:val="28"/>
    </w:rPr>
  </w:style>
  <w:style w:type="character" w:customStyle="1" w:styleId="ListLabel23">
    <w:name w:val="ListLabel 23"/>
    <w:rPr>
      <w:sz w:val="28"/>
      <w:szCs w:val="28"/>
    </w:rPr>
  </w:style>
  <w:style w:type="character" w:customStyle="1" w:styleId="ListLabel24">
    <w:name w:val="ListLabel 24"/>
    <w:rPr>
      <w:sz w:val="28"/>
      <w:szCs w:val="28"/>
    </w:rPr>
  </w:style>
  <w:style w:type="character" w:customStyle="1" w:styleId="ListLabel25">
    <w:name w:val="ListLabel 25"/>
    <w:rPr>
      <w:sz w:val="28"/>
      <w:szCs w:val="28"/>
    </w:rPr>
  </w:style>
  <w:style w:type="character" w:customStyle="1" w:styleId="ListLabel26">
    <w:name w:val="ListLabel 26"/>
    <w:rPr>
      <w:sz w:val="28"/>
      <w:szCs w:val="28"/>
    </w:rPr>
  </w:style>
  <w:style w:type="character" w:customStyle="1" w:styleId="ListLabel27">
    <w:name w:val="ListLabel 27"/>
    <w:rPr>
      <w:sz w:val="28"/>
      <w:szCs w:val="2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val="ru-RU" w:eastAsia="ru-RU" w:bidi="ar-SA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val="ru-RU" w:eastAsia="ru-RU" w:bidi="ar-SA"/>
    </w:rPr>
  </w:style>
  <w:style w:type="paragraph" w:customStyle="1" w:styleId="Textbodyuser">
    <w:name w:val="Text body (user)"/>
    <w:pPr>
      <w:widowControl w:val="0"/>
      <w:suppressAutoHyphens/>
      <w:spacing w:after="140" w:line="276" w:lineRule="auto"/>
      <w:textAlignment w:val="auto"/>
    </w:pPr>
    <w:rPr>
      <w:rFonts w:cs="Liberation Serif"/>
    </w:rPr>
  </w:style>
  <w:style w:type="paragraph" w:customStyle="1" w:styleId="PreformattedText">
    <w:name w:val="Preformatted Text"/>
    <w:basedOn w:val="Standard"/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0">
    <w:name w:val="ListLabel 20"/>
    <w:rPr>
      <w:sz w:val="28"/>
      <w:szCs w:val="28"/>
    </w:rPr>
  </w:style>
  <w:style w:type="character" w:customStyle="1" w:styleId="ListLabel21">
    <w:name w:val="ListLabel 21"/>
    <w:rPr>
      <w:sz w:val="28"/>
      <w:szCs w:val="28"/>
    </w:rPr>
  </w:style>
  <w:style w:type="character" w:customStyle="1" w:styleId="ListLabel22">
    <w:name w:val="ListLabel 22"/>
    <w:rPr>
      <w:sz w:val="28"/>
      <w:szCs w:val="28"/>
    </w:rPr>
  </w:style>
  <w:style w:type="character" w:customStyle="1" w:styleId="ListLabel23">
    <w:name w:val="ListLabel 23"/>
    <w:rPr>
      <w:sz w:val="28"/>
      <w:szCs w:val="28"/>
    </w:rPr>
  </w:style>
  <w:style w:type="character" w:customStyle="1" w:styleId="ListLabel24">
    <w:name w:val="ListLabel 24"/>
    <w:rPr>
      <w:sz w:val="28"/>
      <w:szCs w:val="28"/>
    </w:rPr>
  </w:style>
  <w:style w:type="character" w:customStyle="1" w:styleId="ListLabel25">
    <w:name w:val="ListLabel 25"/>
    <w:rPr>
      <w:sz w:val="28"/>
      <w:szCs w:val="28"/>
    </w:rPr>
  </w:style>
  <w:style w:type="character" w:customStyle="1" w:styleId="ListLabel26">
    <w:name w:val="ListLabel 26"/>
    <w:rPr>
      <w:sz w:val="28"/>
      <w:szCs w:val="28"/>
    </w:rPr>
  </w:style>
  <w:style w:type="character" w:customStyle="1" w:styleId="ListLabel27">
    <w:name w:val="ListLabel 27"/>
    <w:rPr>
      <w:sz w:val="28"/>
      <w:szCs w:val="2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val="ru-RU" w:eastAsia="ru-RU" w:bidi="ar-SA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3191</Words>
  <Characters>1819</Characters>
  <Application>Microsoft Office Word</Application>
  <DocSecurity>0</DocSecurity>
  <Lines>15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cp:lastPrinted>2023-04-12T08:02:00Z</cp:lastPrinted>
  <dcterms:created xsi:type="dcterms:W3CDTF">2023-04-10T09:42:00Z</dcterms:created>
  <dcterms:modified xsi:type="dcterms:W3CDTF">2026-02-16T13:28:00Z</dcterms:modified>
</cp:coreProperties>
</file>