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30" w:rsidRDefault="008A1802">
      <w:pPr>
        <w:jc w:val="both"/>
      </w:pPr>
      <w:r>
        <w:rPr>
          <w:noProof/>
          <w:lang w:eastAsia="uk-UA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-447040</wp:posOffset>
            </wp:positionV>
            <wp:extent cx="419735" cy="600710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944" t="-2791" r="-3944" b="-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B30" w:rsidRDefault="008A1802">
      <w:pPr>
        <w:jc w:val="center"/>
        <w:rPr>
          <w:rFonts w:eastAsia="Calibri" w:cs="Times New Roman"/>
          <w:b/>
          <w:sz w:val="28"/>
          <w:szCs w:val="28"/>
          <w:lang w:bidi="ar-SA"/>
        </w:rPr>
      </w:pPr>
      <w:r>
        <w:rPr>
          <w:rFonts w:eastAsia="Calibri" w:cs="Times New Roman"/>
          <w:b/>
          <w:sz w:val="28"/>
          <w:szCs w:val="28"/>
          <w:lang w:bidi="ar-SA"/>
        </w:rPr>
        <w:t>РЕШЕТИЛІВСЬКА МІСЬКА РАДА</w:t>
      </w:r>
    </w:p>
    <w:p w:rsidR="00803B30" w:rsidRDefault="008A1802">
      <w:pPr>
        <w:ind w:firstLine="709"/>
        <w:jc w:val="center"/>
        <w:rPr>
          <w:rFonts w:eastAsia="Calibri" w:cs="Times New Roman"/>
          <w:b/>
          <w:sz w:val="28"/>
          <w:szCs w:val="28"/>
          <w:lang w:bidi="ar-SA"/>
        </w:rPr>
      </w:pPr>
      <w:r>
        <w:rPr>
          <w:rFonts w:eastAsia="Calibri" w:cs="Times New Roman"/>
          <w:b/>
          <w:sz w:val="28"/>
          <w:szCs w:val="28"/>
          <w:lang w:bidi="ar-SA"/>
        </w:rPr>
        <w:t>ПОЛТАВСЬКОЇ ОБЛАСТІ</w:t>
      </w:r>
    </w:p>
    <w:p w:rsidR="00803B30" w:rsidRDefault="008A1802">
      <w:pPr>
        <w:ind w:firstLine="709"/>
        <w:jc w:val="center"/>
      </w:pPr>
      <w:r>
        <w:rPr>
          <w:rFonts w:eastAsia="Calibri" w:cs="Times New Roman"/>
          <w:b/>
          <w:sz w:val="28"/>
          <w:szCs w:val="28"/>
          <w:highlight w:val="white"/>
          <w:lang w:bidi="ar-SA"/>
        </w:rPr>
        <w:t>(четверта позачергова сесія восьмого скликання)</w:t>
      </w:r>
    </w:p>
    <w:p w:rsidR="00803B30" w:rsidRDefault="00803B30">
      <w:pPr>
        <w:ind w:firstLine="709"/>
        <w:jc w:val="center"/>
        <w:rPr>
          <w:rFonts w:eastAsia="Calibri" w:cs="Times New Roman"/>
          <w:b/>
          <w:sz w:val="28"/>
          <w:szCs w:val="28"/>
          <w:lang w:bidi="ar-SA"/>
        </w:rPr>
      </w:pPr>
    </w:p>
    <w:p w:rsidR="00803B30" w:rsidRDefault="008A1802">
      <w:pPr>
        <w:jc w:val="center"/>
        <w:rPr>
          <w:rFonts w:eastAsia="Calibri" w:cs="Times New Roman"/>
          <w:b/>
          <w:sz w:val="28"/>
          <w:szCs w:val="28"/>
          <w:lang w:bidi="ar-SA"/>
        </w:rPr>
      </w:pPr>
      <w:r>
        <w:rPr>
          <w:rFonts w:eastAsia="Calibri" w:cs="Times New Roman"/>
          <w:b/>
          <w:sz w:val="28"/>
          <w:szCs w:val="28"/>
          <w:lang w:bidi="ar-SA"/>
        </w:rPr>
        <w:t>РІШЕННЯ</w:t>
      </w:r>
    </w:p>
    <w:p w:rsidR="00803B30" w:rsidRDefault="00803B30">
      <w:pPr>
        <w:jc w:val="both"/>
        <w:rPr>
          <w:rFonts w:eastAsia="Calibri" w:cs="Times New Roman"/>
          <w:sz w:val="28"/>
          <w:szCs w:val="28"/>
          <w:lang w:bidi="ar-SA"/>
        </w:rPr>
      </w:pPr>
    </w:p>
    <w:p w:rsidR="00803B30" w:rsidRDefault="008A1802">
      <w:pPr>
        <w:jc w:val="both"/>
      </w:pPr>
      <w:r>
        <w:rPr>
          <w:rFonts w:eastAsia="Calibri" w:cs="Times New Roman"/>
          <w:sz w:val="28"/>
          <w:szCs w:val="28"/>
          <w:lang w:bidi="ar-SA"/>
        </w:rPr>
        <w:t xml:space="preserve">  25 лютого </w:t>
      </w:r>
      <w:r>
        <w:rPr>
          <w:rFonts w:eastAsia="Calibri" w:cs="Times New Roman"/>
          <w:sz w:val="28"/>
          <w:szCs w:val="28"/>
          <w:highlight w:val="white"/>
          <w:lang w:bidi="ar-SA"/>
        </w:rPr>
        <w:t>2021 року                                                                            № 270-4-VІІ</w:t>
      </w:r>
      <w:r>
        <w:rPr>
          <w:rFonts w:eastAsia="Calibri" w:cs="Times New Roman"/>
          <w:sz w:val="28"/>
          <w:szCs w:val="28"/>
          <w:highlight w:val="white"/>
          <w:lang w:val="en-US" w:bidi="ar-SA"/>
        </w:rPr>
        <w:t>I</w:t>
      </w:r>
    </w:p>
    <w:p w:rsidR="00803B30" w:rsidRDefault="00803B30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jc w:val="both"/>
      </w:pPr>
      <w:r>
        <w:rPr>
          <w:rFonts w:eastAsia="Times New Roman" w:cs="Times New Roman"/>
          <w:bCs/>
          <w:sz w:val="28"/>
          <w:szCs w:val="28"/>
          <w:highlight w:val="white"/>
          <w:lang w:eastAsia="ru-RU" w:bidi="ar-SA"/>
        </w:rPr>
        <w:t>Про з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>атвердження Статуту</w:t>
      </w:r>
    </w:p>
    <w:p w:rsidR="00803B30" w:rsidRDefault="008A1802">
      <w:pPr>
        <w:jc w:val="both"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Решетилівської міської </w:t>
      </w:r>
    </w:p>
    <w:p w:rsidR="00803B30" w:rsidRDefault="008A1802">
      <w:pPr>
        <w:jc w:val="both"/>
      </w:pPr>
      <w:bookmarkStart w:id="0" w:name="__DdeLink__12870_467717164"/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>територіальної громади</w:t>
      </w:r>
      <w:bookmarkEnd w:id="0"/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shd w:val="clear" w:color="auto" w:fill="FFFFFF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highlight w:val="white"/>
          <w:lang w:eastAsia="ru-RU" w:bidi="ar-SA"/>
        </w:rPr>
        <w:t xml:space="preserve">Відповідно до статті 19, 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пункту 48 частини першої статті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ru-RU" w:bidi="ar-SA"/>
        </w:rPr>
        <w:t xml:space="preserve">26 Закону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highlight w:val="white"/>
          <w:lang w:eastAsia="ru-RU" w:bidi="ar-S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highlight w:val="white"/>
          <w:lang w:eastAsia="ru-RU" w:bidi="ar-SA"/>
        </w:rPr>
        <w:t xml:space="preserve"> місцеве самоврядування в Україні”, враховуючи висновки та рекомендації постійних комісій, протокол громадського обговорення щодо  Статуту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>Решетилівської міської територіальної громади від 12.02.2021 року,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ru-RU" w:bidi="ar-SA"/>
        </w:rPr>
        <w:t xml:space="preserve"> Решетилівська 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міська рада</w:t>
      </w:r>
    </w:p>
    <w:p w:rsidR="00803B30" w:rsidRDefault="008A1802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ВИ</w:t>
      </w:r>
      <w:r>
        <w:rPr>
          <w:rFonts w:eastAsia="Times New Roman" w:cs="Times New Roman"/>
          <w:b/>
          <w:color w:val="000000"/>
          <w:sz w:val="28"/>
          <w:szCs w:val="28"/>
          <w:lang w:eastAsia="ru-RU" w:bidi="ar-SA"/>
        </w:rPr>
        <w:t>РІШИЛА:</w:t>
      </w: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shd w:val="clear" w:color="auto" w:fill="FFFFFF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>1.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ru-RU" w:bidi="ar-SA"/>
        </w:rPr>
        <w:t xml:space="preserve"> Затвердити Статут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>Решетилівської міської територіальної громади, що додається.</w:t>
      </w:r>
    </w:p>
    <w:p w:rsidR="00803B30" w:rsidRDefault="008A1802">
      <w:pPr>
        <w:shd w:val="clear" w:color="auto" w:fill="FFFFFF"/>
        <w:jc w:val="both"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ab/>
        <w:t>2. Уповноважити секретаря міської ради (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>Малиш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highlight w:val="white"/>
          <w:lang w:eastAsia="ru-RU" w:bidi="ar-SA"/>
        </w:rPr>
        <w:t xml:space="preserve"> Т.А.) подати Статут Решетилівської міської територіальної громади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на державну реєстрацію в центральний орган виконавч</w:t>
      </w:r>
      <w:r>
        <w:rPr>
          <w:color w:val="000000" w:themeColor="text1"/>
          <w:sz w:val="28"/>
          <w:szCs w:val="28"/>
          <w:shd w:val="clear" w:color="auto" w:fill="FFFFFF"/>
        </w:rPr>
        <w:t>ої влади, що реалізує державну політику у сфері державної реєстрації (легалізації) об’єднань громадян, інших громадських формувань.</w:t>
      </w:r>
    </w:p>
    <w:p w:rsidR="00803B30" w:rsidRDefault="008A1802">
      <w:pPr>
        <w:shd w:val="clear" w:color="auto" w:fill="FFFFFF"/>
        <w:jc w:val="both"/>
      </w:pPr>
      <w:r>
        <w:rPr>
          <w:rFonts w:eastAsia="Calibri" w:cs="Times New Roman"/>
          <w:bCs/>
          <w:color w:val="000000"/>
          <w:sz w:val="28"/>
          <w:szCs w:val="28"/>
          <w:highlight w:val="white"/>
          <w:lang w:eastAsia="ru-RU" w:bidi="ar-SA"/>
        </w:rPr>
        <w:tab/>
        <w:t xml:space="preserve">3. Контроль за виконанням даного рішення покласти на постійну комісію з питань депутатської діяльності, етики, регламенту, </w:t>
      </w:r>
      <w:r>
        <w:rPr>
          <w:rFonts w:eastAsia="Calibri" w:cs="Times New Roman"/>
          <w:bCs/>
          <w:color w:val="000000"/>
          <w:sz w:val="28"/>
          <w:szCs w:val="28"/>
          <w:highlight w:val="white"/>
          <w:lang w:eastAsia="ru-RU" w:bidi="ar-SA"/>
        </w:rPr>
        <w:t>забезпечення законності, правопорядку та запобігання корупції (Лугова Н.І.).</w:t>
      </w:r>
    </w:p>
    <w:p w:rsidR="00803B30" w:rsidRDefault="00803B30">
      <w:pPr>
        <w:shd w:val="clear" w:color="auto" w:fill="FFFFFF"/>
        <w:jc w:val="both"/>
        <w:rPr>
          <w:rFonts w:eastAsia="Calibri" w:cs="Times New Roman"/>
          <w:bCs/>
          <w:color w:val="000000"/>
          <w:sz w:val="28"/>
          <w:szCs w:val="28"/>
          <w:highlight w:val="white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Calibri" w:cs="Times New Roman"/>
          <w:bCs/>
          <w:color w:val="000000"/>
          <w:sz w:val="28"/>
          <w:szCs w:val="28"/>
          <w:highlight w:val="white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Calibri" w:cs="Times New Roman"/>
          <w:bCs/>
          <w:color w:val="000000"/>
          <w:sz w:val="28"/>
          <w:szCs w:val="28"/>
          <w:highlight w:val="white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Calibri" w:cs="Times New Roman"/>
          <w:bCs/>
          <w:color w:val="000000"/>
          <w:sz w:val="28"/>
          <w:szCs w:val="28"/>
          <w:highlight w:val="white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shd w:val="clear" w:color="auto" w:fill="FFFFFF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Міський голова                                                                                   О.А.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Дядюнова</w:t>
      </w:r>
      <w:proofErr w:type="spellEnd"/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shd w:val="clear" w:color="auto" w:fill="FFFFFF"/>
        <w:ind w:firstLine="595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lastRenderedPageBreak/>
        <w:t>ЗАТВЕРДЖЕНО</w:t>
      </w:r>
    </w:p>
    <w:p w:rsidR="00803B30" w:rsidRDefault="008A1802">
      <w:pPr>
        <w:shd w:val="clear" w:color="auto" w:fill="FFFFFF"/>
        <w:ind w:firstLine="595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рішення Решетилівської </w:t>
      </w:r>
    </w:p>
    <w:p w:rsidR="00803B30" w:rsidRDefault="008A1802">
      <w:pPr>
        <w:shd w:val="clear" w:color="auto" w:fill="FFFFFF"/>
        <w:ind w:firstLine="5954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міської ради </w:t>
      </w:r>
      <w:r>
        <w:rPr>
          <w:rFonts w:eastAsia="Times New Roman" w:cs="Times New Roman"/>
          <w:color w:val="000000"/>
          <w:sz w:val="28"/>
          <w:szCs w:val="28"/>
          <w:lang w:val="en-US" w:eastAsia="ru-RU" w:bidi="ar-SA"/>
        </w:rPr>
        <w:t>VIII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скликання</w:t>
      </w:r>
    </w:p>
    <w:p w:rsidR="00803B30" w:rsidRDefault="008A1802">
      <w:pPr>
        <w:shd w:val="clear" w:color="auto" w:fill="FFFFFF"/>
        <w:ind w:firstLine="5954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від 25.02.2021 № 270-4-VIII</w:t>
      </w:r>
    </w:p>
    <w:p w:rsidR="00803B30" w:rsidRDefault="008A1802">
      <w:pPr>
        <w:shd w:val="clear" w:color="auto" w:fill="FFFFFF"/>
        <w:ind w:firstLine="5954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(4 позачергова сесія)</w:t>
      </w: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shd w:val="clear" w:color="auto" w:fill="FFFFFF"/>
        <w:jc w:val="center"/>
        <w:rPr>
          <w:rFonts w:eastAsia="Times New Roman" w:cs="Times New Roman"/>
          <w:color w:val="000000"/>
          <w:sz w:val="44"/>
          <w:szCs w:val="44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 w:bidi="ar-SA"/>
        </w:rPr>
        <w:t>СТАТУТ</w:t>
      </w:r>
    </w:p>
    <w:p w:rsidR="00803B30" w:rsidRDefault="008A1802">
      <w:pPr>
        <w:shd w:val="clear" w:color="auto" w:fill="FFFFFF"/>
        <w:jc w:val="center"/>
        <w:rPr>
          <w:rFonts w:eastAsia="Times New Roman" w:cs="Times New Roman"/>
          <w:color w:val="000000"/>
          <w:sz w:val="44"/>
          <w:szCs w:val="44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44"/>
          <w:szCs w:val="44"/>
          <w:lang w:eastAsia="ru-RU" w:bidi="ar-SA"/>
        </w:rPr>
        <w:t>РЕШЕТИЛІВСЬКОЇ МІСЬКОЇ ТЕРИТОРІАЛЬНОЇ ГРОМАДИ</w:t>
      </w: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44"/>
          <w:szCs w:val="44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03B30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shd w:val="clear" w:color="auto" w:fill="FFFFFF"/>
        <w:jc w:val="center"/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м.</w:t>
      </w:r>
      <w:r>
        <w:rPr>
          <w:rFonts w:eastAsia="Times New Roman" w:cs="Times New Roman"/>
          <w:color w:val="000000"/>
          <w:sz w:val="28"/>
          <w:szCs w:val="28"/>
          <w:lang w:val="en-US" w:eastAsia="ru-RU" w:bidi="ar-SA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Решетилівка</w:t>
      </w:r>
    </w:p>
    <w:p w:rsidR="00803B30" w:rsidRDefault="008A1802" w:rsidP="008A1802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>2021</w:t>
      </w:r>
    </w:p>
    <w:p w:rsidR="008A1802" w:rsidRPr="008A1802" w:rsidRDefault="008A1802" w:rsidP="008A1802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803B30" w:rsidRDefault="008A1802">
      <w:pPr>
        <w:jc w:val="right"/>
      </w:pPr>
      <w:r>
        <w:rPr>
          <w:color w:val="000000"/>
          <w:sz w:val="28"/>
          <w:szCs w:val="28"/>
        </w:rPr>
        <w:t>Додаток № 7</w:t>
      </w:r>
    </w:p>
    <w:p w:rsidR="00803B30" w:rsidRDefault="008A180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Статуту</w:t>
      </w: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A1802">
      <w:pPr>
        <w:jc w:val="center"/>
      </w:pPr>
      <w:r>
        <w:rPr>
          <w:b/>
          <w:bCs/>
          <w:color w:val="000000"/>
          <w:sz w:val="28"/>
          <w:szCs w:val="28"/>
        </w:rPr>
        <w:t>ПОРЯДОК ПОДАННЯ ТА РОЗГЛЯДУ ЕЛЕКТРОННИХ ПЕТИЦІЙ, АДРЕСОВАНИХ МІСЬКІЙ РАДІ, ЇЇ ВИКОНАВЧИМ ОРГАНАМ</w:t>
      </w:r>
    </w:p>
    <w:p w:rsidR="00803B30" w:rsidRDefault="00803B30">
      <w:pPr>
        <w:jc w:val="center"/>
        <w:rPr>
          <w:color w:val="000000"/>
          <w:sz w:val="28"/>
          <w:szCs w:val="28"/>
        </w:rPr>
      </w:pP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 xml:space="preserve"> Положення про порядок подання та розгляду ел</w:t>
      </w:r>
      <w:r>
        <w:rPr>
          <w:color w:val="000000"/>
          <w:sz w:val="28"/>
          <w:szCs w:val="28"/>
        </w:rPr>
        <w:t>ектронних петицій, адресованих міській раді, її виконавчим органам (далі – Положення) відповідно до статті 23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Закону України «Про звернення громадян» визначає порядок реалізації громадянами права на звернення до органу місцевого самоврядування з електронн</w:t>
      </w:r>
      <w:r>
        <w:rPr>
          <w:color w:val="000000"/>
          <w:sz w:val="28"/>
          <w:szCs w:val="28"/>
        </w:rPr>
        <w:t xml:space="preserve">ими петиціями та їх розгляду. 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Електронна петиція – особлива форма колективного звернення громадян до Ради, її виконавчих органів, подання якої здійснюється через офіційний веб-сайт Ради, веб-сайт з питань, вирішення яких віднесено до повноважень Ради,</w:t>
      </w:r>
      <w:r>
        <w:rPr>
          <w:color w:val="000000"/>
          <w:sz w:val="28"/>
          <w:szCs w:val="28"/>
        </w:rPr>
        <w:t xml:space="preserve"> її виконавчих органів. 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2.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Електронна петиція, адресована Раді, її виконавчим органам, розглядається у порядку, визначеному цим Положенням, у разі збору на її підтримку не менш як</w:t>
      </w:r>
      <w:r>
        <w:rPr>
          <w:color w:val="000000"/>
          <w:sz w:val="28"/>
          <w:szCs w:val="28"/>
          <w:highlight w:val="white"/>
        </w:rPr>
        <w:t xml:space="preserve"> 200 підписів громадян протягом не більше 60 днів з дн</w:t>
      </w:r>
      <w:r>
        <w:rPr>
          <w:color w:val="000000"/>
          <w:sz w:val="28"/>
          <w:szCs w:val="28"/>
        </w:rPr>
        <w:t>я оприлюднення петиці</w:t>
      </w:r>
      <w:r>
        <w:rPr>
          <w:color w:val="000000"/>
          <w:sz w:val="28"/>
          <w:szCs w:val="28"/>
        </w:rPr>
        <w:t>ї.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white"/>
        </w:rPr>
        <w:t>3.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Електронна петиція не може містити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 расової, релігійної ворожнечі, заклики до вчинення терори</w:t>
      </w:r>
      <w:r>
        <w:rPr>
          <w:color w:val="000000"/>
          <w:sz w:val="28"/>
          <w:szCs w:val="28"/>
          <w:highlight w:val="white"/>
        </w:rPr>
        <w:t>стичних актів, посягання на права і свободи людини. Відповідальність за зміст електронної петиції несе автор (ініціатор) електронної петиції.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4.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В електронній петиції має бути викладено суть звернення, зазначено прізвище, ім’я, по батькові автора (ініціат</w:t>
      </w:r>
      <w:r>
        <w:rPr>
          <w:color w:val="000000"/>
          <w:sz w:val="28"/>
          <w:szCs w:val="28"/>
          <w:highlight w:val="white"/>
        </w:rPr>
        <w:t>ора) електронної петиції, адресу електронної пошти. На веб-сайті Ради, де здійснюється збір підписів на підтримку електронних петицій, обов’язково зазначаються дата початку збору підписів та інформація щодо загальної кількості й переліку осіб, які підписал</w:t>
      </w:r>
      <w:r>
        <w:rPr>
          <w:color w:val="000000"/>
          <w:sz w:val="28"/>
          <w:szCs w:val="28"/>
          <w:highlight w:val="white"/>
        </w:rPr>
        <w:t xml:space="preserve">и електронну петицію.   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5.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 xml:space="preserve">Для створення електронної петиції до Ради, її виконавчих органів автор (ініціатор) петиції заповнює спеціальну форму на офіційному веб-сайті Ради,  та розміщує текст електронної петиції. </w:t>
      </w:r>
    </w:p>
    <w:p w:rsidR="00803B30" w:rsidRDefault="008A1802">
      <w:pPr>
        <w:jc w:val="both"/>
      </w:pPr>
      <w:r>
        <w:rPr>
          <w:color w:val="000000"/>
          <w:sz w:val="28"/>
          <w:szCs w:val="28"/>
          <w:highlight w:val="white"/>
        </w:rPr>
        <w:tab/>
        <w:t>6.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 xml:space="preserve">Електронна петиція оприлюднюється </w:t>
      </w:r>
      <w:r>
        <w:rPr>
          <w:color w:val="000000"/>
          <w:sz w:val="28"/>
          <w:szCs w:val="28"/>
          <w:highlight w:val="white"/>
        </w:rPr>
        <w:t>на офіційному веб-сайті Ради, протягом двох робочих днів із дня надсилання її автором (ініціатором). У разі невідповідності електронної петиції встановленим вимогам оприлюднення такої петиції не здійснюється, про що повідомляється автору (ініціатору) не пі</w:t>
      </w:r>
      <w:r>
        <w:rPr>
          <w:color w:val="000000"/>
          <w:sz w:val="28"/>
          <w:szCs w:val="28"/>
          <w:highlight w:val="white"/>
        </w:rPr>
        <w:t>зніше 2 робочих днів від дня надходження.</w:t>
      </w:r>
    </w:p>
    <w:p w:rsidR="00803B30" w:rsidRDefault="008A1802">
      <w:pPr>
        <w:jc w:val="both"/>
      </w:pPr>
      <w:r>
        <w:rPr>
          <w:color w:val="000000"/>
          <w:sz w:val="28"/>
          <w:szCs w:val="28"/>
          <w:highlight w:val="white"/>
        </w:rPr>
        <w:tab/>
        <w:t>7.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Дата оприлюднення електронної петиції на офіційному веб-сайті Ради  є датою початку збору підписів.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8.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Рада зобов’язана забезпечити: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8.1.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 xml:space="preserve">Безоплатність доступу та користування інформаційно-телекомунікаційною </w:t>
      </w:r>
      <w:r>
        <w:rPr>
          <w:color w:val="000000"/>
          <w:sz w:val="28"/>
          <w:szCs w:val="28"/>
          <w:highlight w:val="white"/>
        </w:rPr>
        <w:t xml:space="preserve">системою, за допомогою якої здійснюється збір підписів; </w:t>
      </w:r>
      <w:r>
        <w:rPr>
          <w:color w:val="000000"/>
          <w:sz w:val="28"/>
          <w:szCs w:val="28"/>
          <w:highlight w:val="white"/>
        </w:rPr>
        <w:tab/>
        <w:t>8.2.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 xml:space="preserve">Електронну реєстрацію громадян для підписання петиції; 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8.3.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Недопущення автоматичного введення інформації, у тому числі підписання електронної петиції, без участі громадянина;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8.4.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 xml:space="preserve">Фіксацію </w:t>
      </w:r>
      <w:r>
        <w:rPr>
          <w:color w:val="000000"/>
          <w:sz w:val="28"/>
          <w:szCs w:val="28"/>
          <w:highlight w:val="white"/>
        </w:rPr>
        <w:t>дати і часу оприлюднення електронної петиції та підписання її громадянином.</w:t>
      </w:r>
    </w:p>
    <w:p w:rsidR="00803B30" w:rsidRDefault="008A1802">
      <w:pPr>
        <w:jc w:val="both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9.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Електронна петиція, яка в установлений строк не набрала необхідної кількості голосів на її підтримку, після завершення строку збору підписів на її підтримку розглядається як зв</w:t>
      </w:r>
      <w:r>
        <w:rPr>
          <w:color w:val="000000"/>
          <w:sz w:val="28"/>
          <w:szCs w:val="28"/>
          <w:highlight w:val="white"/>
        </w:rPr>
        <w:t xml:space="preserve">ернення громадян відповідно до Закону України «Про звернення громадян».  </w:t>
      </w:r>
    </w:p>
    <w:p w:rsidR="00803B30" w:rsidRDefault="008A1802">
      <w:pPr>
        <w:jc w:val="both"/>
      </w:pPr>
      <w:r>
        <w:rPr>
          <w:color w:val="000000"/>
          <w:sz w:val="28"/>
          <w:szCs w:val="28"/>
          <w:highlight w:val="white"/>
        </w:rPr>
        <w:tab/>
        <w:t>10.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Інформація про початок розгляду електронної петиції, яка в установлений строк набрала необхідну кількість голосів на її підтримку, оприлюднюється на офіційному веб-сайті Ради не</w:t>
      </w:r>
      <w:r>
        <w:rPr>
          <w:color w:val="000000"/>
          <w:sz w:val="28"/>
          <w:szCs w:val="28"/>
          <w:highlight w:val="white"/>
        </w:rPr>
        <w:t xml:space="preserve"> пізніш як через три робочі дні після набрання необхідної кількості підписів на підтримку петиції, а в разі отримання електронної петиції від громадського об’єднання – не пізніш як через два робочі дні після отримання такої петиції.</w:t>
      </w:r>
    </w:p>
    <w:p w:rsidR="00803B30" w:rsidRDefault="008A1802">
      <w:pPr>
        <w:jc w:val="both"/>
      </w:pPr>
      <w:r>
        <w:rPr>
          <w:color w:val="000000"/>
          <w:sz w:val="28"/>
          <w:szCs w:val="28"/>
          <w:highlight w:val="white"/>
        </w:rPr>
        <w:tab/>
        <w:t>11.</w:t>
      </w:r>
      <w:r>
        <w:rPr>
          <w:color w:val="000000"/>
          <w:sz w:val="28"/>
          <w:szCs w:val="28"/>
          <w:highlight w:val="white"/>
          <w:lang w:val="en-US"/>
        </w:rPr>
        <w:t> </w:t>
      </w:r>
      <w:r>
        <w:rPr>
          <w:color w:val="000000"/>
          <w:sz w:val="28"/>
          <w:szCs w:val="28"/>
          <w:highlight w:val="white"/>
        </w:rPr>
        <w:t>Розгляд електронни</w:t>
      </w:r>
      <w:r>
        <w:rPr>
          <w:color w:val="000000"/>
          <w:sz w:val="28"/>
          <w:szCs w:val="28"/>
          <w:highlight w:val="white"/>
        </w:rPr>
        <w:t>х петицій здійснюється невідкладно, але не пізніше 10 робочих днів з дня оприлюднення інформації про початок її розгляду.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12.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Якщо електронна петиція подана на розгляд Раді, її виконавчим органам, керівник відповідно, дає доручення до компетенції якого ви</w:t>
      </w:r>
      <w:r>
        <w:rPr>
          <w:color w:val="000000"/>
          <w:sz w:val="28"/>
          <w:szCs w:val="28"/>
        </w:rPr>
        <w:t xml:space="preserve">конавчого органу належить розгляд порушених у петиції питань, підготувати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Ради чи її виконавчого комітету, що може бути прийняте за результатами розгляду електронної петиції з метою вирішення питань, порушених у петиції, чи врахування подани</w:t>
      </w:r>
      <w:r>
        <w:rPr>
          <w:color w:val="000000"/>
          <w:sz w:val="28"/>
          <w:szCs w:val="28"/>
        </w:rPr>
        <w:t>х у ній пропозицій.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13.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Електронна петиція, а також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рішення Ради чи виконавчого комітету, підготовлений на основі петиції, розглядається Радою або виконавчим комітетом, відповідно, на їх черговому або позачерговому засіданні або засіданні, яке скли</w:t>
      </w:r>
      <w:r>
        <w:rPr>
          <w:color w:val="000000"/>
          <w:sz w:val="28"/>
          <w:szCs w:val="28"/>
        </w:rPr>
        <w:t>кається у межах строку, встановленого пунктом 11 цього Положення, з дотриманням положень чинного законодавства.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14.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Якщо електронна петиція містить клопотання про її розгляд на громадських слуханнях територіальної громади, автор (ініціатор) петиції має пр</w:t>
      </w:r>
      <w:r>
        <w:rPr>
          <w:color w:val="000000"/>
          <w:sz w:val="28"/>
          <w:szCs w:val="28"/>
        </w:rPr>
        <w:t>аво представити електронну петицію на таких слуханнях. У такому разі строк розгляду електронної петиції продовжується на строк, необхідний для проведення відповідних слухань. Проведення громадських слухань здійснюється відповідно до Положення про громадськ</w:t>
      </w:r>
      <w:r>
        <w:rPr>
          <w:color w:val="000000"/>
          <w:sz w:val="28"/>
          <w:szCs w:val="28"/>
        </w:rPr>
        <w:t xml:space="preserve">і слухання. 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15.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Інформація про підтримку або </w:t>
      </w:r>
      <w:proofErr w:type="spellStart"/>
      <w:r>
        <w:rPr>
          <w:color w:val="000000"/>
          <w:sz w:val="28"/>
          <w:szCs w:val="28"/>
        </w:rPr>
        <w:t>непідтримку</w:t>
      </w:r>
      <w:proofErr w:type="spellEnd"/>
      <w:r>
        <w:rPr>
          <w:color w:val="000000"/>
          <w:sz w:val="28"/>
          <w:szCs w:val="28"/>
        </w:rPr>
        <w:t xml:space="preserve"> електронної петиції публікується на офіційному веб-сайті Ради не пізніше наступного робочого дня після її розгляду.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16.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Відповідь на електронну петицію не пізніше наступного робочого дня після зак</w:t>
      </w:r>
      <w:r>
        <w:rPr>
          <w:color w:val="000000"/>
          <w:sz w:val="28"/>
          <w:szCs w:val="28"/>
        </w:rPr>
        <w:t>інчення її розгляду оприлюднюється на офіційному веб-сайті Ради, а також надсилається у письмовому вигляді її автору (ініціатору) та відповідному громадському об’єднанню, яке здійснювало збір підписів на її підтримку. У відповіді на електронну петицію пові</w:t>
      </w:r>
      <w:r>
        <w:rPr>
          <w:color w:val="000000"/>
          <w:sz w:val="28"/>
          <w:szCs w:val="28"/>
        </w:rPr>
        <w:t>домляється про результати розгляду порушених у ній питань із відповідним обґрунтуванням.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17.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У разі визнання за доцільне викладені в електронній петиції пропозиції можуть реалізовуватися Радою, її виконавчими органами, шляхом прийняття відповідних рішень </w:t>
      </w:r>
      <w:r>
        <w:rPr>
          <w:color w:val="000000"/>
          <w:sz w:val="28"/>
          <w:szCs w:val="28"/>
        </w:rPr>
        <w:t>з питань, віднесених до їх компетенції.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18.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Інформація про кількість підписів, одержаних на підтримку електронної петиції, та строки їх збору зберігається протягом трьох років з дня оприлюднення такої електронної петиції. 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19.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У разі незгоди з рішенням Р</w:t>
      </w:r>
      <w:r>
        <w:rPr>
          <w:color w:val="000000"/>
          <w:sz w:val="28"/>
          <w:szCs w:val="28"/>
        </w:rPr>
        <w:t>ади, її виконавчих органів щодо порядку розгляду електронної петиції автор (ініціатор) має право оскаржити його в порядку, встановленому законодавством України.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  <w:t>20.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Посадові особи Ради, її виконавчих органів несуть відповідальність за порушення норм цього</w:t>
      </w:r>
      <w:r>
        <w:rPr>
          <w:color w:val="000000"/>
          <w:sz w:val="28"/>
          <w:szCs w:val="28"/>
        </w:rPr>
        <w:t xml:space="preserve"> Положення згідно із законодавством України.</w:t>
      </w:r>
    </w:p>
    <w:p w:rsidR="00803B30" w:rsidRDefault="008A1802">
      <w:pPr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both"/>
        <w:rPr>
          <w:color w:val="000000"/>
          <w:sz w:val="28"/>
          <w:szCs w:val="28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yellow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</w:p>
    <w:p w:rsidR="00803B30" w:rsidRDefault="00803B30">
      <w:pPr>
        <w:jc w:val="right"/>
        <w:rPr>
          <w:color w:val="000000"/>
          <w:sz w:val="28"/>
          <w:szCs w:val="28"/>
          <w:highlight w:val="white"/>
        </w:rPr>
      </w:pPr>
      <w:bookmarkStart w:id="1" w:name="_GoBack"/>
      <w:bookmarkEnd w:id="1"/>
    </w:p>
    <w:sectPr w:rsidR="00803B30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46C"/>
    <w:multiLevelType w:val="multilevel"/>
    <w:tmpl w:val="6D6423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7FF4E8F"/>
    <w:multiLevelType w:val="multilevel"/>
    <w:tmpl w:val="F8DA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52E2D50"/>
    <w:multiLevelType w:val="multilevel"/>
    <w:tmpl w:val="00D4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803B30"/>
    <w:rsid w:val="00803B30"/>
    <w:rsid w:val="008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1">
    <w:name w:val="rvts11"/>
    <w:basedOn w:val="a0"/>
    <w:qFormat/>
  </w:style>
  <w:style w:type="character" w:customStyle="1" w:styleId="a3">
    <w:name w:val="Текст выноски Знак"/>
    <w:basedOn w:val="a0"/>
    <w:qFormat/>
    <w:rPr>
      <w:rFonts w:ascii="Segoe UI" w:eastAsia="Arial Unicode MS" w:hAnsi="Segoe UI" w:cs="Mangal"/>
      <w:color w:val="00000A"/>
      <w:kern w:val="2"/>
      <w:sz w:val="18"/>
      <w:szCs w:val="16"/>
      <w:lang w:val="uk-UA" w:eastAsia="zh-CN" w:bidi="hi-IN"/>
    </w:rPr>
  </w:style>
  <w:style w:type="character" w:customStyle="1" w:styleId="1">
    <w:name w:val="Основной текст1"/>
    <w:qFormat/>
    <w:rPr>
      <w:rFonts w:ascii="Times New Roman" w:hAnsi="Times New Roman"/>
      <w:color w:val="000000"/>
      <w:spacing w:val="0"/>
      <w:w w:val="100"/>
      <w:sz w:val="26"/>
      <w:u w:val="single"/>
      <w:lang w:val="uk-UA" w:eastAsia="x-none"/>
    </w:rPr>
  </w:style>
  <w:style w:type="character" w:customStyle="1" w:styleId="a4">
    <w:name w:val="Основной текст Знак"/>
    <w:basedOn w:val="a0"/>
    <w:qFormat/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customStyle="1" w:styleId="a5">
    <w:name w:val="Нижний колонтитул Знак"/>
    <w:basedOn w:val="a0"/>
    <w:qFormat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character" w:customStyle="1" w:styleId="a6">
    <w:name w:val="Верхний колонтитул Знак"/>
    <w:basedOn w:val="a0"/>
    <w:qFormat/>
    <w:rPr>
      <w:rFonts w:ascii="Times New Roman" w:eastAsia="Arial Unicode MS" w:hAnsi="Times New Roman" w:cs="Mangal"/>
      <w:color w:val="00000A"/>
      <w:kern w:val="2"/>
      <w:sz w:val="24"/>
      <w:szCs w:val="21"/>
      <w:lang w:val="uk-UA" w:eastAsia="zh-CN" w:bidi="hi-IN"/>
    </w:rPr>
  </w:style>
  <w:style w:type="character" w:styleId="a7">
    <w:name w:val="Strong"/>
    <w:basedOn w:val="a0"/>
    <w:qFormat/>
    <w:rPr>
      <w:b/>
      <w:bCs/>
    </w:rPr>
  </w:style>
  <w:style w:type="character" w:customStyle="1" w:styleId="10">
    <w:name w:val="Основной шрифт абзаца1"/>
    <w:qFormat/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a">
    <w:name w:val="Emphasis"/>
    <w:qFormat/>
    <w:rPr>
      <w:i/>
      <w:i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customStyle="1" w:styleId="1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f1">
    <w:name w:val="Normal (Web)"/>
    <w:basedOn w:val="a"/>
    <w:qFormat/>
    <w:pPr>
      <w:spacing w:beforeAutospacing="1" w:afterAutospacing="1"/>
    </w:pPr>
    <w:rPr>
      <w:lang w:eastAsia="uk-UA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ListParagraph1">
    <w:name w:val="List Paragraph1"/>
    <w:basedOn w:val="a"/>
    <w:qFormat/>
    <w:pPr>
      <w:ind w:left="720"/>
      <w:contextualSpacing/>
    </w:pPr>
    <w:rPr>
      <w:rFonts w:eastAsia="Times New Roman" w:cs="Times New Roman"/>
      <w:kern w:val="0"/>
      <w:lang w:val="ru-RU" w:bidi="ar-SA"/>
    </w:rPr>
  </w:style>
  <w:style w:type="paragraph" w:customStyle="1" w:styleId="rvps2">
    <w:name w:val="rvps2"/>
    <w:basedOn w:val="a"/>
    <w:qFormat/>
    <w:pPr>
      <w:spacing w:before="280" w:after="280"/>
    </w:pPr>
    <w:rPr>
      <w:rFonts w:eastAsia="Times New Roman" w:cs="Times New Roman"/>
      <w:kern w:val="0"/>
      <w:lang w:val="ru-RU" w:eastAsia="ru-RU" w:bidi="ar-SA"/>
    </w:rPr>
  </w:style>
  <w:style w:type="paragraph" w:styleId="af3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4">
    <w:name w:val="No Spacing"/>
    <w:qFormat/>
    <w:rPr>
      <w:rFonts w:ascii="Calibri" w:eastAsia="Calibri" w:hAnsi="Calibri" w:cs="Times New Roman"/>
      <w:color w:val="00000A"/>
      <w:sz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af6">
    <w:name w:val="Текст в заданном формате"/>
    <w:basedOn w:val="a"/>
    <w:qFormat/>
    <w:rPr>
      <w:rFonts w:ascii="Liberation Mono" w:hAnsi="Liberation Mono" w:cs="Liberation Mono"/>
      <w:kern w:val="0"/>
      <w:sz w:val="20"/>
      <w:szCs w:val="20"/>
      <w:lang w:val="ru-RU" w:bidi="ar-SA"/>
    </w:rPr>
  </w:style>
  <w:style w:type="paragraph" w:customStyle="1" w:styleId="af7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110">
    <w:name w:val="Обычный (веб)11"/>
    <w:basedOn w:val="a"/>
    <w:qFormat/>
    <w:pPr>
      <w:spacing w:before="280" w:after="280"/>
    </w:pPr>
  </w:style>
  <w:style w:type="paragraph" w:customStyle="1" w:styleId="HTML1">
    <w:name w:val="Стандартный HTML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SimSun" w:eastAsia="SimSun" w:hAnsi="SimSun" w:cs="SimSun"/>
      <w:sz w:val="24"/>
      <w:lang w:val="en-US"/>
    </w:rPr>
  </w:style>
  <w:style w:type="paragraph" w:customStyle="1" w:styleId="13">
    <w:name w:val="Верхний колонтитул1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0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5535-8609-4B50-9D45-BED6F51F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4887</Words>
  <Characters>2786</Characters>
  <Application>Microsoft Office Word</Application>
  <DocSecurity>0</DocSecurity>
  <Lines>23</Lines>
  <Paragraphs>15</Paragraphs>
  <ScaleCrop>false</ScaleCrop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105</cp:revision>
  <cp:lastPrinted>2021-04-23T09:58:00Z</cp:lastPrinted>
  <dcterms:created xsi:type="dcterms:W3CDTF">2020-09-28T12:43:00Z</dcterms:created>
  <dcterms:modified xsi:type="dcterms:W3CDTF">2024-09-04T10:33:00Z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